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BES.2019.11 vom 10. Dezember 2019</w:t>
      </w:r>
    </w:p>
    <w:p>
      <w:r>
        <w:t>BS Appellationsgericht, 2019-12-10, DE</w:t>
      </w:r>
    </w:p>
    <w:p>
      <w:r>
        <w:rPr>
          <w:b/>
        </w:rPr>
        <w:t xml:space="preserve">Quelle: </w:t>
      </w:r>
      <w:r>
        <w:t>https://mcp.opencaselaw.ch/entscheid/bs_appellationsgericht_BES.2019.11</w:t>
      </w:r>
    </w:p>
    <w:p>
      <w:r>
        <w:t>FR: BS_APPELLATIONSGERICHT BES.2019.11 du 10 décembre 2019</w:t>
      </w:r>
    </w:p>
    <w:p>
      <w:r>
        <w:t>IT: BS_APPELLATIONSGERICHT BES.2019.11 del 10 dicembre 2019</w:t>
      </w:r>
    </w:p>
    <w:p>
      <w:pPr>
        <w:pStyle w:val="Heading2"/>
      </w:pPr>
      <w:r>
        <w:t>Erwägungen</w:t>
      </w:r>
    </w:p>
    <w:p>
      <w:r>
        <w:rPr>
          <w:b/>
        </w:rPr>
        <w:t>E. 1</w:t>
      </w:r>
    </w:p>
    <w:p>
      <w:r>
        <w:t>[...]</w:t>
      </w:r>
    </w:p>
    <w:p>
      <w:r>
        <w:t>B____ AGBeschwerdeführerin</w:t>
      </w:r>
    </w:p>
    <w:p>
      <w:r>
        <w:rPr>
          <w:b/>
        </w:rPr>
        <w:t>E. 2</w:t>
      </w:r>
    </w:p>
    <w:p>
      <w:r>
        <w:t>Auflage, Zürich 2014, Art. 314 N 12). Unter dem Gesichtspunkt der Rechtssicherheit ist schliesslich das Interesse an der Vermeidung sich widersprechender Urteile zu berücksichtigen: Je schwieriger sich eine zivilrechtliche Vorfrage gestaltet, desto eher ist die Sistierung des davon abhängigen Strafverfahrens gerechtfertigt (Droese, Die Akteneinsicht des Geschädigten in der Strafuntersuchung vor dem Hintergrund zivilprozessualer Informationsinteressen, Diss. Zürich 2008, S. 282 f.).</w:t>
      </w:r>
    </w:p>
    <w:p>
      <w:r>
        <w:t>3.2Die Frage, in wessen Eigentum das in der verlassenen Mieträumlichkeit ausgebaute und mitgenommene Material steht, ist Gegenstand des Zivilverfahrens. Gleichzeitig ist diese Frage konstitutiv für grosse Teile des Strafverfahrens, in der die Fremdheit der veruntreuten, entwendeten oder beschädigten Sachen als Tatbestandsmerkmal vorausgesetzt wird (Art. 138, 139 und 144 StGB). Wird die Eigentumsfrage im Zivilverfahren zugunsten der beschuldigten Mieter entschieden, liegt eine straflose Wegnahme bzw. Selbstschädigung vor, womit die von der Vermieterschaft in der Strafanzeige erhobenen Vorwürfe grösstenteils entfallen würden. Übrig blieben bloss der Vorwurf der Beschädigung der Mieträumlichkeit anlässlich des Ausbaus und der Mitnahme des Inventars (Strafanzeige Ziff. 9 S. 6 f.), den die Beschwerdeführerinnen im Zusammenhang mit einer Schadenersatzforderung von mehr als CHF 165'000. dem Zivilgericht vorgelegt haben (Zivilklage vom 26. September 2017, Rechtsbegehren Ziff. 4, Begründung Ziff. 16-19, S. 3, 10) und der demnächst anlässlich der zweiten Instruktionsverhandlung am Zivilgericht behandelt wird. Für alle übrigen Vorwürfe des Strafverfahrens bleibt die Klärung der Eigentumsfrage im Zivilverfahren konstitutiv und stellt eine unabdingbare Voraussetzung für die Fortsetzung des Strafverfahrens dar (vgl. BGer 1B_238/2018 vom 5. September 2018 E. 2.3, 1B_421/2012 vom 19. Juni 2013 E. 2.2;Landshut/Bosshard, a.a.O., Art. 314 N 12).</w:t>
      </w:r>
    </w:p>
    <w:p>
      <w:r>
        <w:t>Die Strafanzeige, die zum vorliegenden Untersuchungsverfahren führte, datiert vom 1. Juli 2015. Kurz zuvor, am 29 Juni 2015, hatten die Beschwerdeführerinnen beim Zivilgericht bereits ein Gesuch um vorsorgliche Expertise gestellt (Zivilakten act. 3, Klagbeilage Nr. 18, vorsorgliche Expertise vom 9./21. September 2015 S.</w:t>
      </w:r>
    </w:p>
    <w:p>
      <w:r>
        <w:rPr>
          <w:b/>
        </w:rPr>
        <w:t>E. 4</w:t>
      </w:r>
    </w:p>
    <w:p>
      <w:r>
        <w:t>Ziff. 4). Die zivilrechtliche Klage auf Herausgabe, eventualiter Schadenersatz wurde nach erfolgloser Schlichtungsverhandlung am 26. September 2017 erhoben. Mit Urteil ZK[...] vom 13. Dezember 2017 wies das Appellationsgericht eine zivilrechtliche Klage der Beschwerdeführerin 1 gegen die E____ GmbH und die D____ AG in Liq. betreffend Markenrecht und Lauterkeitsrecht ab (Berechtigung am Namen der Bar), weil die entsprechende Klausel nicht auf dem amtlichen Formular für Mietvertragsänderungen vereinbart worden und daher nichtig sei. Das Bundesgericht bestätigte das Urteil (BGer 4A_36/2018 vom 1. März 2018). Gutgeheissen wurde vom Appellationsgericht hingegen eine Forderungsklage der Beschwerdeführerin 2 aus einem Darlehen an die D____ AG in Liq. In diesem Urteil wurde auch klargestellt, dass sich die Feststellung der Nichtigkeit ausschliesslich auf das Recht am Namen bezogen habe und sich daraus keine verbindlichen Feststellungen zu den übrigen Klauseln des Mietvertrags ergäben (AGE ZB.2018.14 vom 2. Dezember 2018 E. 4.3 S. 12, Beschwerdebeilage 14).</w:t>
      </w:r>
    </w:p>
    <w:p>
      <w:r>
        <w:t>Nachdem die Staatsanwaltschaft sich beim Zivilgericht nach dem Verfahrensstand erkundigt hatte, sistierte sie am 18. Juni 2018 die Strafuntersuchung. Am 11. Dezember 2018 wurde am Zivilgericht ohne Erfolg eine erste Instruktionsverhandlung mit dem Ziel einer Einigung durchgeführt (Journal K5[...]). Am 27. Dezember 2018 beantragten die Beschwerdeführerinnen bei der Staatsanwaltschaft die Aufhebung der Sistierung des Strafverfahrens, was mit der angefochtenen Verfügung vom 21. Januar 2019 abgewiesen wurde. Am 15. Januar 2019 beantragten die Beschwerdeführerinnen auch die Sistierung des Zivilverfahrens bis zum rechtskräftigen Abschluss des Verfahrens ZB[...] (Zivilakten act. 13).</w:t>
      </w:r>
    </w:p>
    <w:p>
      <w:r>
        <w:t>Nachdem der Rechtsvertreter der Beschwerdeführerinnen dem Zivilgericht am 18. September 2019 mitgeteilt hatte, dass die Liegenschaft, in welche die strittigen Gegenstände verbracht worden sind, abgebrannt sei, wurde eine zweite Instruktionsverhandlung vorgeschlagen und von beiden Parteien akzeptiert (Eingaben vom 21. Oktober 2019 in den Zivilakten).</w:t>
      </w:r>
    </w:p>
    <w:p>
      <w:r>
        <w:t>3.3Sowohl die zivilrechtliche Forderungsklage als auch die Strafanzeige wegen Diebstahl, Veruntreuung und Sachbeschädigung stützen sich auf das geltend gemachte Eigentumsrecht der Beschwerdeführerinnen am eingebauten und am mobilen Inventar der Bar in der [...], welches ausgebaut und in die Liegenschaft [...] transferiert worden ist. Die Beschwerdeführerinnen berufen sich dabei auf Ziff. 4 und 5 des Anhanges zum Mietvertrag vom 29. August 2001 (Zivilklage vom 26. September 2017 S. 5, Zivilakten act. 2; Strafanzeige vom 1. Juli 2015). Gemäss dieser Vereinbarung hängt die Eigentümerschaft vom Bestand des im Verfahren ZB[...] beurteilten Darlehens ab.</w:t>
      </w:r>
    </w:p>
    <w:p>
      <w:r>
        <w:t>Auch die Klage betreffend Markenrecht hatte sich auf den Anhang zum Mietvertrag vom 29. August 2001 gestützt. In jenem Verfahren kam das Appellationsgericht zum Schluss, dass Ziff. 8 dieses Anhanges nichtig sei, da er eine Vertragsänderung beinhalte und diese nicht mittels des amtlichen Formulars mitgeteilt worden sei (AGE ZK.2016.5 vom 13. Dezember 2017 E. 2.3.3). Unter Hinweis auf dieses Urteil forderte die Staatsanwaltschaft am 18. April 2018 die Beschwerdeführerinnen auf, ihre Eigentümerschaft an den von ihnen genannten Gegenständen zu belegen. Hierauf machten diese mit Schreiben vom 2. Mai 2018 geltend, dass das Appellationsgericht in seinem Entscheid ZK[...] von falschen Tatsachen ausgegangen sei. Gleichzeitig verwiesen sie auf die beim Zivilgericht hängige Klage in der gleichen Sache (Strafakten, Register "Zur Sache").</w:t>
      </w:r>
    </w:p>
    <w:p>
      <w:r>
        <w:t>Die Beschwerdeführerinnen haben somit implizit selber das Verfahren vor Zivilgericht als das entscheidende bezeichnet. Zudem legen sie auch in der Beschwerde nicht dar, welche sachverhaltlichen Abklärungen durch die Strafverfolgungsbehörden noch vorzunehmen wären. Versäumte strafrechtliche Ermittlungen sind auch nicht ersichtlich. Ob durch die Wegnahme der fraglichen Gegenstände ein Eigentumsdelikt begangen worden sein könnte, hängt im aktuellen Verfahrensstadium einzig noch von der Frage ab, ob die Beschwerdeführerinnen Eigentümerinnen der fraglichen Gegenstände waren oder nicht. Allein aus der Zusammenfassung der verschiedenen zivilprozessualen Verfahren und deren Themen zeigt es sich, dass es vorliegend nicht um einfache zivilrechtliche Fragen geht, die von der Staatsanwaltschaft ohne Weiteres beantwortet werden können. Der Verweis der Beschwerdeführerinnen auf mietrechtliche Streitfragen (Beschwerde S. 5 Ziff. 12) und die Tatsache, dass die Zivilgerichtspräsidentin eine zweite Instruktionsverhandlung anberaumt hat, sprechen für sich. Zudem zeigen die vielen zivilprozessualen Demarchen, dass die Beschwerdeführerinnen in erster Linie zivilprozessual gegen die D____ AG in Liq. bzw. deren Inhaber/innen (also die Beschwerdegegner/innen 2-6) vorgehen wollten.</w:t>
      </w:r>
    </w:p>
    <w:p>
      <w:r>
        <w:t>3.4Die strafprozessuale Offizialmaxime steht der zivilprozessualen Klärung konstitutiver Fragen nicht entgegen. In diesem Zusammenhang ist mit Teilen der Literatur auf die Gefahr der Überbeanspruchung der Strafjustiz zu verweisen, wenn diese durch Zivilkläger unbegrenzt für die kostenlose Material- und Beweisbeschaffung bzw. zur Durchführung von "fishing expeditions" für private Streitigkeiten beansprucht wird (vgl.Droese, a.a.O., S. 280;Landshut/Bosshard, a.a.O., Art. 314 N 14). Solche Überlegungen machen deutlich, dass eine Verfahrenssistierung zur Klärung unverzichtbarer Vorfragen angezeigt sein kann, zumal wenn es sich um einen unübersichtlichen Streit handelt und keine Zeitnot herrscht. In der vorliegenden Konstellation ist der zivilrechtliche Entscheid zur Eigentumsfrage konstitutiv für die strafrechtliche Beurteilung; die Ausgangslage präsentiert sich aufgrund der Beteiligung von Gesellschaften und natürlichen Personen, der bereits erfolgten Ergreifung diverser Rechtsmittel und des Zusammenspiels von strittigen eigentumsrechtlichen und mietrechtlichen Fragen als unübersichtlich. Vorliegend muss zuerst die miet- und eigentumsrechtliche Privatstreitigkeit ausgetragen werden, bevor deren strafrechtliche Relevanz beurteilt werden kann. Deshalb darf die Staatsanwaltschaft die strafrechtliche Untersuchung sistieren, bis zivilrechtlich über die Eigentumsfrage entschieden ist. Bei einer Verjährungsfrist von 15 Jahren gemäss Art. 97 Abs. 1 lit. b i.V. mit 144 Abs. 3 StGB drohen im Moment weder Beweisverlust noch Verjährung.</w:t>
      </w:r>
    </w:p>
    <w:p>
      <w:r>
        <w:t>Nach dem Gesagten ist die Beschwerde abzuweisen. Bei diesem Ausgang des Verfahrens tragen die Beschwerdeführerinnen gemäss Art. 428 Abs. 1 StPO dessen Kosten von CHF 1'500., welche durch Verrechnung mit dem geleisteten Kostenvorschuss im gleichen Betrag getilgt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