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BES.2018.174 vom 1. November 2018</w:t>
      </w:r>
    </w:p>
    <w:p>
      <w:r>
        <w:t>BS Appellationsgericht, 2018-11-01, DE</w:t>
      </w:r>
    </w:p>
    <w:p>
      <w:r>
        <w:rPr>
          <w:b/>
        </w:rPr>
        <w:t xml:space="preserve">Quelle: </w:t>
      </w:r>
      <w:r>
        <w:t>https://mcp.opencaselaw.ch/entscheid/bs_appellationsgericht_BES.2018.174</w:t>
      </w:r>
    </w:p>
    <w:p>
      <w:r>
        <w:t>FR: BS_APPELLATIONSGERICHT BES.2018.174 du 1 novembre 2018</w:t>
      </w:r>
    </w:p>
    <w:p>
      <w:r>
        <w:t>IT: BS_APPELLATIONSGERICHT BES.2018.174 del 1 novembre 2018</w:t>
      </w:r>
    </w:p>
    <w:p>
      <w:pPr>
        <w:pStyle w:val="Heading2"/>
      </w:pPr>
      <w:r>
        <w:t>Erwägungen</w:t>
      </w:r>
    </w:p>
    <w:p>
      <w:r>
        <w:rPr>
          <w:b/>
        </w:rPr>
        <w:t>E. 1</w:t>
      </w:r>
    </w:p>
    <w:p>
      <w:r>
        <w:t>1.1Gegen Verfügungen und Beschlüsse der erstinstanzlichen Gerichte kann gemäss Art. 393 Abs. 1 lit. b der Schweizerischen Strafprozessordnung (StPO, SR 312.0) Beschwerde erhoben werden. Zuständiges Beschwerdegericht ist das Appellationsgericht als Einzelgericht (§ 93 Abs. 1 Ziff. 1 des Gesetzes über die Organisation der Gerichte und der Staatsanwaltschaft [GOG, SG 154.100]). Die Beschwerdeführerin hat ein rechtlich geschütztes Interesse an der Aufhebung des angefochtenen Entscheides und ist somit zur Beschwerde legitimiert (Art. 382 Abs. 1 StPO). Die Beschwerde wurde rechtzeitig eingereicht.</w:t>
      </w:r>
    </w:p>
    <w:p>
      <w:r>
        <w:t>1.2Die Kognition des Beschwerdegerichts ist frei und nicht auf Willkür beschränkt (Art. 393 Abs. 2 StPO).</w:t>
      </w:r>
    </w:p>
    <w:p>
      <w:r>
        <w:rPr>
          <w:b/>
        </w:rPr>
        <w:t>E. 2</w:t>
      </w:r>
    </w:p>
    <w:p>
      <w:r>
        <w:t>StPO vom Geltungsbereich der Strafprozessordnung ausgenommen. Daher ist der nicht eingeschriebene Versand von Übertretungsanzeigen und Zahlungserinnerungen im Ordnungsbussenverfahren grundsätzlich zulässig (statt vieler: AGE BES.2017.115 vom 2. August 2017 E. 2.2, BES.2016.190 vom 10. Januar 2017 E. 3.1). Ein Anspruch auf eingeschriebene Zustellung im Sinne von Art. 85 Abs. 2 StPO besteht im Ordnungsbussenverfahren nicht. Art. IIIA lit. a des Vertrages zwischen der Schweizerischen Eidgenossenschaft und der Bundesrepublik Deutschland über die Ergänzung des Europäischen Übereinkommens über die Rechtshilfe in Strafsachen vom 20. April 1959 und die Erleichterung seiner Anwendung (SR 0.351.913.61) erklärt zudem die unmittelbare Zustellung von gerichtlichen oder anderen Schriftstücken im Zusammenhang mit Strafsachen durch die Post an Personen auf dem Hoheitsgebiet des jeweils anderen Vertragsstaats als zulässig. Damit ist die nicht eingeschriebene Zustellung der Ordnungsbussenanzeige und der Zahlungserinnerung auch an eine in Deutschland wohnhafte Person formell rechtlich nicht zu beanstanden.</w:t>
      </w:r>
    </w:p>
    <w:p>
      <w:r>
        <w:t>2.3.3Nach dem Gesagten gelten die Sendungen vom 8. März 2018 und 17. Mai 2018 vorliegend als zugestellt. Zwar ist es im Falle eines einmaligen Versandes mit nicht eingeschriebener Post nicht auszuschliessen, dass eine Sendung nicht ankommt. Bei einer zweimaligen Zustellung wird die Möglichkeit eines Zustellungsfehlers jedoch vernachlässigbar klein, zumal sich im vorliegenden Fall die Adresse der Beschwerdeführerin, die bei allen Briefsendungen verwendet wurde, aufgrund der Tatsache, dass ihr mittels eingeschriebener Post sowohl der Strafbefehl als auch der Entscheid der ersten Instanz an die genannte Adresse haben zugestellt werden können, als richtig und funktionsfähig herausgestellt hat. Im Zuge dieser Umstände ist auszuschliessen, dass weder die Übertretungsanzeige noch die Zahlungserinnerung bei der Beschwerdeführerin angekommen ist, obwohl diese korrekt adressiert und zu unterschiedlichen Zeitpunkten, nämlich am 8. März 2018 und am 17. Mai 2018, versandt wurden. Im Gegenteil ist in Anbetracht der dargelegten Indizienkette davon auszugehen, dass die Beschwerdeführerin durch den Erhalt mindestens eines der beiden Schreiben hinreichend über die vorgeworfene Tat, die Busse sowie seine Möglichkeiten, ebendiese zu bezahlen oder den Vorwurf zu bestreiten, andernfalls das kostenpflichtige ordentliche Verfahren eingeleitet werde, hat in Kenntnis gesetzt werden können.</w:t>
      </w:r>
    </w:p>
    <w:p>
      <w:r>
        <w:t>2.4Da die Beschwerdeführerin nicht auf die am Fahrzeug angebrachte Ordnungsbusse sowie auf die danach an sie versandte Übertretungsanzeige und Zahlungserinnerung innert Frist reagiert hatte, wurde das Verfahren von der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worüber die Beschwerdeführerin mittels entsprechenden Schreibens der Staatsanwaltschaft vom 6. August 2018 in Kenntnis gesetzt wurde. Im vorliegenden Fall wurde somit der Mindestansatz angewandt. Die Auferlegung der Mindestgebühr erfolgte demnach zu Recht.</w:t>
      </w:r>
    </w:p>
    <w:p>
      <w:r>
        <w:rPr>
          <w:b/>
        </w:rPr>
        <w:t>E. 2.2</w:t>
      </w:r>
    </w:p>
    <w:p>
      <w:r>
        <w:t>S. 10 f.; BGer 2C_128/2012 vom 29. Mai 2012 E. 2.2; RHINOWet al., Öffentliches Prozessrecht, 2. Auflage, Basel 2010,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 AMSTUTZ/ARNOLD, in: Basler Kommentar zum Bundesgerichtsgesetz, 2. Auflage, Basel 2011, Art. 44 BGG N 14).</w:t>
      </w:r>
    </w:p>
    <w:p>
      <w:r>
        <w:t>So hat das Appellationsgericht es etwa konkret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hat das Appellationsgericht die Zustellung von drei Ordnungsbussen, drei Strafbefehlen sowie einer Mahnung als nachgewiesen erachtet, die zu unterschiedlichen Zeitpunkten mit nicht eingeschriebener Post an die richtige Adresse versandt wurden, ohne dass die Adressatin darauf reagiert hätte (VGE VD.2010.257 vom 3. Mai 2011, bestätigt durch BGer 6B_462/2011 vom 17. Oktober 2011 E. 3).</w:t>
      </w:r>
    </w:p>
    <w:p>
      <w:r>
        <w:t>2.3.2Seit Inkrafttreten der Schweizerischen Strafprozessordnung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Diese Bestimmung ist jedoch auf die vorgängig versandte Übertretungsanzeige und Zahlungserinnerung nicht anwendbar. Vielmehr sind diese im Rahmen des Ordnungsbussenverfahrens versandt worden, in welchem Zustellungen praxisgemäss nicht eingeschrieben erfolgen. Das Ordnungsbussenverfahren ist vom ordentlichen Strafverfahren zu unterscheiden; es handelt sich um ein vereinfachtes Verfahren (Art. 1 Abs. 1 Ordnungsbussengesetz [OBG, SR 741.03]), in welchem keine Kosten erhoben werden dürfen (Art. 7 OBG). Überdies ist es durch den Vorbehalt von Art. 1 Abs.</w:t>
      </w:r>
    </w:p>
    <w:p>
      <w:r>
        <w:rPr>
          <w:b/>
        </w:rPr>
        <w:t>E. 3</w:t>
      </w:r>
    </w:p>
    <w:p>
      <w:r>
        <w:t>Aus dem Dargelegten ergibt sich, dass die Beschwerde abzuweisen ist. Auf die dem Verfahrensausgang entsprechende Auferlegung der Kosten des Beschwerdeverfahrens zu Lasten der Beschwerdeführerin (Art. 428 Abs. 1 StPO) ist umständehalber zu</w:t>
      </w:r>
    </w:p>
    <w:p>
      <w:r>
        <w:t>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