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BES.2018.171 vom 4. Januar 2019</w:t>
      </w:r>
    </w:p>
    <w:p>
      <w:r>
        <w:t>BS Appellationsgericht, 2019-01-04, DE</w:t>
      </w:r>
    </w:p>
    <w:p>
      <w:r>
        <w:rPr>
          <w:b/>
        </w:rPr>
        <w:t xml:space="preserve">Quelle: </w:t>
      </w:r>
      <w:r>
        <w:t>https://mcp.opencaselaw.ch/entscheid/bs_appellationsgericht_BES.2018.171</w:t>
      </w:r>
    </w:p>
    <w:p>
      <w:r>
        <w:t>FR: BS_APPELLATIONSGERICHT BES.2018.171 du 4 janvier 2019</w:t>
      </w:r>
    </w:p>
    <w:p>
      <w:r>
        <w:t>IT: BS_APPELLATIONSGERICHT BES.2018.171 del 4 gennaio 2019</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 2 in Verbindung mit Art. 322 Abs. 2 der Schweizerischen Strafprozessordnung [StPO, SR 312.0]). 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(vgl. AGE BES.2017.117 vom 15. Januar 2018 E. 1.2.1, BES.2017.95 vom 20. Oktober 2017 E. 1.1, BES.2017.28 vom 12. September 2017 E. 1.1; jeweils mit Hinweisen). Der Beschwerdeführer ist als Anzeigesteller durch die Nichtanhandnahmeverfügung der Staatsanwaltschaft vom 24. September 2018 selbst und unmittelbar in seinen Interessen tangiert, da das zur Anzeige gelangte Delikt zu seinem Nachteil begangen worden sein soll. Entsprechend hat er ein Interesse an der Aufhebung der Verfügung und ist zur Beschwerde legitimiert.</w:t>
      </w:r>
    </w:p>
    <w:p>
      <w:r>
        <w:t>1.2Zur Beurteilung der vorliegenden Beschwerde ist das Appellationsgericht als Einzelgericht zuständig (§ 88 Abs. 1 in Verbindung mit § 93 Abs. 1 Ziff. 1 des Gerichtsorganisationsgesetzes, SG 154.100), welches nach Art. 393 Abs. 2 StPO mit freier Kognition urteilt. Die Beschwerde gegen die angefochtene Verfügung ist frist- und formgerecht im Sinne von Art. 396 Abs. 1 StPO erhoben worden, so dass darauf einzutreten ist.</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zur StPO, Basel 2011, Art. 310 N 610, vgl. auch AGE BES 2015.77 vom 14. März 2016 E. 2.1).</w:t>
      </w:r>
    </w:p>
    <w:p>
      <w:r>
        <w:t>2.2Die Staatsanwaltschaft führte zur Abklärung eines Anfangsverdachts auf ungetreue Geschäftsbesorgung eine ausführliche Einvernahme mit dem Beschwerdeführer durch (vgl. Strafakten, Aktenbeilage 4, Schreiben vom 10. Juli 2018). In der Befragung gab dieser an, keine widerrechtlichen Bezüge der Bank festgestellt zu haben. Er gab auch zu Protokoll, dass er aufgrund eines zweifach erstellten Kontoauszugs gedacht habe, dass die eingangs erwähnte Gebühr im Betrage von EUR 6978. doppelt von seinem Konto abgezogen worden sei (Strafakten, Aktenbeilage 4, Einvernahme vom 18. September 2018, S. 3). Der Beschwerdeführer sei ursprünglich davon ausgegangen, dass es sich beim Kapitalgewinn von EUR 30626.25 um einen Gewinn handle, der in dieser Höhe dem Kapitalstand zuzurechnen sei. Da ihm aber aufgezeigt worden sei, dass von diesem Geldbetrag Gebühren abzuziehen seien, könne er letztlich niemandem einen Vorwurf hierfür machen. Er müsse zudem analog zum versteuerten Kapital einen entsprechenden Kapitalzuwachs auf seinem Konto wahrnehmen können (Strafakten, Aktenbeilage 4, Einvernahme vom 18. September 2018, S. 4).</w:t>
      </w:r>
    </w:p>
    <w:p>
      <w:r>
        <w:t>2.3Weder aus den Ausführungen des Beschwerdeführers noch aus den eingereichten Unterlagen kann ein Verdacht auf Straftaten abgeleitet werden. Der Beschwerdeführer gab selbst an, keine widerrechtlichen Bezüge der Bank festgestellt zu haben. Auch vermag ein zweifach erstellter Kontoauszug keine doppelt vollzogene Abbuchung zu belegen. Im Einklang mit dem Schreiben der Bank [] vom 18. Oktober 2018 ist dem Beschwerdeführer entgegenzuhalten, dass steuerliche Begebenheiten grundsätzlich nicht mit buchhalterischen Vermögensveränderungen gleichzusetzen sind. Mit anderen Worten kann aus einer ausgewiesenen Kapitalversteuerung nicht eine gleichlautende Vermögensveränderung auf einem Bankkonto in demselben Zeitraum hergeleitet werden.</w:t>
      </w:r>
    </w:p>
    <w:p>
      <w:r>
        <w:t>Aufgrund fehlender Verdachtsmomente fällt der zu beurteilende Sachverhalt mit Sicherheit unter keinen Straftatbestand. Somit hat die Staatsanwaltschaft zu Recht eine Nichtanhandnahme verfügt, weshalb die Beschwerde vom 28. September 2018 abzuweisen ist. Umständehalber wird auf die Erhebung von Kosten für das Beschwerdeverfahren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