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BES.2018.110 vom 21. Mai 2015</w:t>
      </w:r>
    </w:p>
    <w:p>
      <w:r>
        <w:t>BS Appellationsgericht, 2015-05-21, DE</w:t>
      </w:r>
    </w:p>
    <w:p>
      <w:r>
        <w:rPr>
          <w:b/>
        </w:rPr>
        <w:t xml:space="preserve">Quelle: </w:t>
      </w:r>
      <w:r>
        <w:t>https://mcp.opencaselaw.ch/entscheid/bs_appellationsgericht_BES.2018.110</w:t>
      </w:r>
    </w:p>
    <w:p>
      <w:r>
        <w:t>FR: BS_APPELLATIONSGERICHT BES.2018.110 du 21 mai 2015</w:t>
      </w:r>
    </w:p>
    <w:p>
      <w:r>
        <w:t>IT: BS_APPELLATIONSGERICHT BES.2018.110 del 21 maggio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1.1Nichtanhandnahmeverfügungen der Staatsanwaltschaft können innert zehn Tagen mittels Beschwerde bei der Beschwerdeinstanz angefochten werden (Art. 393 Abs. 1 lit. a und Art. 310 Abs.</w:t>
      </w:r>
    </w:p>
    <w:p>
      <w:r>
        <w:rPr>
          <w:b/>
        </w:rPr>
        <w:t>E. 2</w:t>
      </w:r>
    </w:p>
    <w:p>
      <w:r>
        <w:t>Gemäss Art. 428 Abs. 1 StPO gilt eine Partei, auf deren Rechtsmittel nicht eingetreten wird, als unterliegend. Dies ist vorliegend der Fall, weshalb der Beschwerdeführer die Verfahrenskosten mit einer Gebühr von CHF 300. zu tragen hat (Art. 428 Abs. 1 StPO in Verbindung mit § 21 Abs. 2 des Gerichtsgebührenreglements [GGR, SG 154.810]).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