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BES.2017.94 vom 3. Juni 2008</w:t>
      </w:r>
    </w:p>
    <w:p>
      <w:r>
        <w:t>BS Appellationsgericht, 2008-06-03, DE</w:t>
      </w:r>
    </w:p>
    <w:p>
      <w:r>
        <w:rPr>
          <w:b/>
        </w:rPr>
        <w:t xml:space="preserve">Quelle: </w:t>
      </w:r>
      <w:r>
        <w:t>https://mcp.opencaselaw.ch/entscheid/bs_appellationsgericht_BES.2017.94</w:t>
      </w:r>
    </w:p>
    <w:p>
      <w:r>
        <w:t>FR: BS_APPELLATIONSGERICHT BES.2017.94 du 3 juin 2008</w:t>
      </w:r>
    </w:p>
    <w:p>
      <w:r>
        <w:t>IT: BS_APPELLATIONSGERICHT BES.2017.94 del 3 giugno 2008</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 Beschwerden gegen Nichtanhandnahmeverfügungen sind gemäss Art. 310 Abs. 2 StPO analog zu behandeln (vgl.Omlin, in: Basler Kommentar, 2. Auflage 2014,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BES.2017.27 vom 11. April 2017 E. 1.2). Der Beschwerdeführer ist als Anzeigesteller durch die Nichtanhandnahme grundsätzlich selbst und unmittelbar in seinen Interessen tangiert, da die angezeigten Delikte zu seinem Nachteil begangen worden sein sollen. Entsprechend hat er ein Interesse an der Aufhebung der Nichtanhandnahmeverfügung,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Gemäss Art. 310 Abs. 1 lit. a StPO verfügt die Staatsanwaltschaft die Nicht-anhandnahme, sofern aufgrund der Strafanzeige oder des Polizeirapports feststeht, dass die fraglichen Straftatbestände eindeutig nicht erfüllt sind. Eine Nichtanhandnahmeverfügung hat zu ergehen, wenn der Fall allein aufgrund der Akten sowohl in rechtlicher als auch in tatsächlicher Hinsicht klar und bereits aus den Akten ersichtlich ist, dass der zur Beurteilung vorliegende Sachverhalt mit Sicherheit unter keinen Straftatbestand fällt, so dass die Führung eines Verfahrens geradezu aussichtslos erscheint.Die fraglichen Tatbestände können als eindeutig nicht erfüllt erachtet werden, wenn gar nie ein Verdacht hätte geschöpft werden dürfen. Dies ist beispielsweise der Fall, wenn eine Strafanzeige unglaubhaft ist oder sich keine deliktsrelevanten Anhaltspunkte feststellen lassen. 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sein.Bei Vorliegen der in Art. 310 StPO genannten Gründe darf die Staatsanwaltschaft kein Strafverfahren eröffnen, sondern muss eine Nichtanhandnahmeverfügung erlassen  die Vorschrift hat zwingenden Charakter (AGE BES.2017.27 vom 11. April 2017 E. 2.1, BES.2015.130 vom 15. Dezember 2015 E. 2;Omlin, a.a.O., Art. 310 StPO N 6 ff.).</w:t>
      </w:r>
    </w:p>
    <w:p>
      <w:r>
        <w:rPr>
          <w:b/>
        </w:rPr>
        <w:t>E. 3</w:t>
      </w:r>
    </w:p>
    <w:p>
      <w:r>
        <w:t>3.1Der Beschwerdeführer wirft dem Beschwerdegegner 2 vor, er habe in seiner Zeugeneinvernahme vom 18. Mai 2010 falsch ausgesagt, als er behauptete, den Beschwerdeführer nicht zu kennen (act. 5/14 S. 3), da er vom Ombudsmann im Februar 2009 auf die unzulässige Rechtsverzögerung im Fall des Beschwerdeführers aufmerksam gemacht worden sei (act. 3 S. 2 und 4; act. 6 S. 2).</w:t>
      </w:r>
    </w:p>
    <w:p>
      <w:r>
        <w:t>Des Weiteren wirft der Beschwerdeführer dem Beschwerdegegner 2 vor, er habe dadurch, dass er nach dem Gespräch mit dem Ombudsmann nicht bei [...] gegen die ihm bekannte Verzögerung bei der Urteilsredaktion interveniert hat, einen Amtsmissbrauch begangen (act. 3 S. 4 f.).</w:t>
      </w:r>
    </w:p>
    <w:p>
      <w:r>
        <w:t>3.2In seiner Einvernahme vom 18. Mai 2010 hat der Beschwerdegegner 2 ausgesagt, in seinem Gespräch mit dem Ombudsmann habe dieser ihm allgemeine Fragen zur Verfahrensdauer gestellt. Was dieser in seinem Schreiben vom 10. Februar 2009 festgehalten habe, habe er wohl auch so gesagt (act. 5/14 S. 4 ff.). Dieses Schreiben war lediglich an den Beschwerdeführer und nicht (auch) an den Beschwerdegegner 2 adressiert. Der Ombudsmann hielt darin unter anderem fest, der Beschwerdegegner 2 habe ihm erklärt, wie Betroffene, die der Meinung seien, die Begründung des Urteils dauere zu lange, vorgehen sollten (act. 5/19 S. 1). Dem Schreiben kann also nicht entnommen werden, dass der Beschwerdegegner 2 durch den Ombudsmann über die Rechtsverzögerung im konkreten Fall des Beschwerdeführers in Kenntnis gesetzt wurde.</w:t>
      </w:r>
    </w:p>
    <w:p>
      <w:r>
        <w:t>Der ausserordentliche Staatsanwalt führt unter Ziff. 8.1, 8.3 und 8.4 seiner Nichtanhandnahmeverfügung nachvollziehbar und juristisch korrekt aus, weshalb dem Beschwerdegegner 2 der Vorwurf des falschen Zeugnisses nicht ansatzweise gemacht werden kann und dass deshalb die Nichtanhandnahme zu erfolgen hat (act. 1 S. 3 ff.). Dem gibt es weiter nichts beizufügen.</w:t>
      </w:r>
    </w:p>
    <w:p>
      <w:r>
        <w:t>3.3Dasselbe gilt genauso für die Ausführungen zum Tatbestand des Amtsmissbrauchs in Ziff. 9.2 und 9.3 der Nichtanhandnahmeverfügung (act. 1 S. 5 f.), der selbstredend weit und breit nicht erfüllt ist.</w:t>
      </w:r>
    </w:p>
    <w:p>
      <w:r>
        <w:t>Seit Einführung der eidgenössischen StPO per 1. Januar 2011 sieht diese in Art. 84 Abs. 4 StPO eine Bestimmung vor, mit welcher die Gerichte verpflichtet werden, im Falle einer schriftlichen Urteilsbegründung diese innert 60, allenfalls 90 Tagen zu liefern. Lehre und Rechtsprechung sind sich indessen einig, dass es sich dabei nur um eine Ordnungsvorschrift handelt (BGer 6B_95/2013 vom 10. Dezember 2013 E. 5), deren Missachtung die Gültigkeit des Urteils nicht berührt. Ebenso wenig stellt nicht jede Überschreitung per se eine Verletzung des Beschleunigungsgebotes dar (Brüschweiler, in: Donatsch/Hansjakob/Lieber [Hrsg.], Kommentar zur Schweizerischen Strafprozessordnung [StPO], 2. Auflage, Zürich 2014, Art. 84 N 6, mit Hinweis).</w:t>
      </w:r>
    </w:p>
    <w:p>
      <w:r>
        <w:t>Im Urteil vom 17. Juni 2009, das noch vor Inkrafttreten der eidgenössischen StPO und somit unter basel-städtischer Strafprozessordnung ergangen ist, hatte bereits das Appellationsgericht gestützt auf allgemeine Rechtsgrundsätze festgestellt, dass eine Begründungsdauer von über neun Monaten übermässig sei und die damalige Beschwerde des Beschwerdeführers  soweit auf sie einzutreten war  gutgeheissen (AGE 909/2009 vom 17. Juni 2009). Damit war bereits alles gesagt und es muss als ausgesprochen mutwillig bezeichnet werden, dass der Beschwerdeführer in Kenntnis dieses Urteils den damals Vorsitzenden Präsidenten des Strafgerichts, der mit dem Urteil des Strafgerichts vom 3. Juni 2008 nicht das Geringste zu tun hatte, zusätzlich mit einer Strafanzeige wegen Amtsmissbrauchs eingedeckt hat.</w:t>
      </w:r>
    </w:p>
    <w:p>
      <w:r>
        <w:t>3.4Entsprechend den vorstehenden Ausführungen hatdie Vorinstanz die Strafanzeigen zu Recht nicht an die Hand genommen.</w:t>
      </w:r>
    </w:p>
    <w:p>
      <w:r>
        <w:rPr>
          <w:b/>
        </w:rPr>
        <w:t>E. 4</w:t>
      </w:r>
    </w:p>
    <w:p>
      <w:r>
        <w:t>4.1Der Beschwerdeführer rügt eine Rechtsverzögerung (act. 3 S. 1, 3 und 5; act. 6 S. 1). Gemäss Art. 29 Abs. 1 der Bundesverfassung (BV, SR 101)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BES.2017.61 vom 2. Mai 2017 E. 4.1). Nach aktuellster bundesgerichtlicher Rechtsprechung verletzt die Staatsanwaltschaft das Beschleunigungsgebot, wenn sie während mehr als sechs Monaten ohne sachlich nachvollziehbaren Grund beziehungsweise mangels ausreichender behördlicher Ressourcen untätig bleibt (BGer 1B_55/2017 vom 24. Mai 2017 E. 4).</w:t>
      </w:r>
    </w:p>
    <w:p>
      <w:r>
        <w:t>4.2Mit Entscheid vom 7. Juni 2011 wurde [...] vom Regierungsrat mit der Aufgabe betraut, sämtliche vom Beschwerdeführer gegen Personen der Basler Strafverfolgungsbehörden und Gerichte erstatteten Strafanzeigen als ausserordentlicher Staatsanwalt zu bearbeiten. Die Anzeigen gegen den Beschwerdegegner 2 wurden am 15. Juni 2011 an den eingesetzten Staatsanwalt übermittelt. Am 22. Februar 2012 fand zur Klärung des Anzeigesachverhaltes eine Befragung des Beschwerdeführers statt. Erst am 6. Juni 2017 verfügte die Staatsanwaltschaft die Nichtanhandnahme der Strafanzeigen wegen Amtsmissbrauchs und falschen Zeugnisses.</w:t>
      </w:r>
    </w:p>
    <w:p>
      <w:r>
        <w:t>4.3Dass nach der am 22. Februar 2012 durchgeführten Befragung des Beschwerdeführers während über fünf Jahren keine konkreten Verfahrensschritte unternommen wurden, ist stossend. Weshalb die Staatsanwaltschaft erst am 6. Juni 2017 die Nichtanhandnahme verfügte, ergibt sich nicht aus den Akten und ist nicht nachvollziehbar, zumal es sich beim betreffenden Sachverhalt nicht um ein komplexes Geschehen handelt.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BES.2017.61 vom 2. Mai 2017 E. 4.2). Es ist eine klare Rechtsverzögerung festzustellen.</w:t>
      </w:r>
    </w:p>
    <w:p>
      <w:r>
        <w:t>4.4Nach dem Gesagten ist in teilweiser Gutheissung der Beschwerde im Strafverfahren gegen B____ eine überlange Verfahrensdauer und somit eine Rechtsverzögerung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