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BES.2017.84 vom 19. Juni 2017</w:t>
      </w:r>
    </w:p>
    <w:p>
      <w:r>
        <w:t>BS Appellationsgericht, 2017-06-19, DE</w:t>
      </w:r>
    </w:p>
    <w:p>
      <w:r>
        <w:rPr>
          <w:b/>
        </w:rPr>
        <w:t xml:space="preserve">Quelle: </w:t>
      </w:r>
      <w:r>
        <w:t>https://mcp.opencaselaw.ch/entscheid/bs_appellationsgericht_BES.2017.84</w:t>
      </w:r>
    </w:p>
    <w:p>
      <w:r>
        <w:t>FR: BS_APPELLATIONSGERICHT BES.2017.84 du 19 juin 2017</w:t>
      </w:r>
    </w:p>
    <w:p>
      <w:r>
        <w:t>IT: BS_APPELLATIONSGERICHT BES.2017.84 del 19 giugno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BES.2017.27 vom 11. April 2017 E. 1.2). Der Beschwerdeführer ist als Anzeigesteller durch die Nichtanhandnahme grundsätzlich selbst und unmittelbar in seinen Interessen tangiert, da das angezeigte Delikt zu seinem Nachteil begangen worden sein soll.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2.1Gemäss Art. 310 Abs. 1 lit. a StPO verfügt die Staatsanwaltschaft die Nicht-anhandnahme, sofern aufgrund der Strafanzeige oder des Polizeirapports feststeht, dass die fraglichen Straftatbestände oder die Prozessvoraussetzungen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eine Nichtanhandnahmeverfügung erlassen  die Vorschrift hat zwingenden Charakter (AGE BES.2017.27 vom 11. April 2017 E. 2.1;Omlin, a.a.O., Art. 310 StPO N 6 ff.).</w:t>
      </w:r>
    </w:p>
    <w:p>
      <w:r>
        <w:t>2.2Am 27. April 2010 erstattete der Beschwerdeführer gegen [...] eine Strafanzeige wegen Amts- und Zeugenmissbrauchs bezüglich eines unter dessen Vorsitz gefällten Urteils (AGE AS.2009.344 vom 23. April 2010). In einem an [...] gerichteten Ausstandsbegehren vom 26. Oktober 2010 im Verfahren AS.2010.121 vor dem Appellationsgericht Basel-Stadt nahm der Beschwerdeführer auf diese Strafanzeige Bezug (act. 6/9; angefochtene Verfügung Ziff. 4.1 f. S. 2). Der Ausschuss des Appellationsgerichts in der Besetzung B____ (Beschwerdegegnerin 2), C____ (Beschwerdegegner 3) und D____ (Beschwerdegegnerin 4) als Richter/-innen und E____ (Beschwerdegegnerin 5) als Gerichtsschreiberin wies dieses Ausstandsbegehren mit ausführlicher Begründung ab (AGE AS.2010.121 vom 8. Dezember 2010). Der Beschwerdeführer focht diesen Entscheid nicht an (angefochtene Verfügung Ziff. 5.2 S. 4), sondern erstattete ein paar Monate später Strafanzeige gegen die Beschwerdegegner/-innen 2, 3, 4 und 5 (act. 6/1).</w:t>
      </w:r>
    </w:p>
    <w:p>
      <w:r>
        <w:t>2.3Die Vorinstanz erwägt in ihrer Nichtanhandnahmeverfügung vom 9. Mai 2017, es begründe keinen Amtsmissbrauch, wenn ein Beamter in Ausübung seiner Tätigkeit eine für den Betroffenen unliebsame Handlung vornehme. Nicht jede möglicherweise fehlerhafte Handlung, nicht jeder behördliche Fehler, stelle auch eine Straftat dar. Das Gesetz sanktioniere nur solche unzulässigen Verfügungen und Massnahmen, die der Täter in Ausübung hoheitlicher Gewalt treffe. Bei der Beurteilung von Voreingenommenheit oder Befangenheit eines Richters sei nicht auf das subjektive Empfinden einer Partei abzustellen. Das Misstrauen in die Unvoreingenommenheit müsse vielmehr in objektiver Weise begründet erscheinen. Die Strafanzeige des Beschwerdeführers gegen [...] habe dessen Ausstand nicht zu begründen vermocht. Andernfalls wäre es einer Partei möglich, einen Richter einseitig in den Ausstand zu versetzen, indem sie gegen ihn eine Strafanzeige einreiche. Es bestünde die Gefahr des Rechtsmissbrauchs und der Möglichkeit, dass der Gesuchsteller mit einem derartigen Vorgehen in verfassungswidriger Weise und aus sachfremden Gründen seinen Richter gewissermassen auswählen könnte. Amtsmissbräuchliches Verhalten sei in keinerlei Hinsicht auszumachen (angefochtene Verfügung Ziff. 5.1 f. S. 3 ff.).</w:t>
      </w:r>
    </w:p>
    <w:p>
      <w:r>
        <w:rPr>
          <w:b/>
        </w:rPr>
        <w:t>E. 3</w:t>
      </w:r>
    </w:p>
    <w:p>
      <w:r>
        <w:t>Nur weil das Appellationsgericht sich nicht im Sinne des Beschwerdeführers entschied, impliziert das keineswegs amtsmissbräuchliches Verhalten, wie die Vor-instanz zutreffend erwägt (angefochtene Verfügung Ziff. 5.2 S. 5). Dieser unterlässt es, sich in seiner Beschwerde mit der Begründung der Nichtanhandnahmeverfügung zum Vorwurf des Amtsmissbrauchs auseinanderzusetzen. Es kann deshalb grundsätzlich vollumfänglich auf die überzeugenden Erwägungen der Staatsanwaltschaft verwiesen werden (angefochtene Verfügung Ziff. 5.1 f. S. 3 ff.). Wie dem Beschwerdeführer inzwischen bestens bekannt sein sollte, vermag die Einreichung einer Strafanzeige für sich allein keinen Anschein der Befangenheit zu begründen. Andernfalls könnte eine Partei dadurch nach ihrem Dafürhalten unbequeme Personen einfach ausschalten (Boog, in: Basler Kommentar, 2. Auflage 2014, Art. 56 StPO N 41, mit Hinweisen). Wie die Staatsanwaltschaft zutreffend festhält (angefochtene Verfügung Ziff. 5.2 S. 5), gebietet auch die blosse Kollegialität unter Gerichtsmitgliedern keine Ausstandspflicht. So blieb das Ausstandsgesuch des Beschwerdeführers mit Recht ohne Erfolg (siehe oben E. 2.2). Die Vorinstanz hat daher die Strafanzeige zu Recht nicht an die Hand genommen.</w:t>
      </w:r>
    </w:p>
    <w:p>
      <w:r>
        <w:rPr>
          <w:b/>
        </w:rPr>
        <w:t>E. 4</w:t>
      </w:r>
    </w:p>
    <w:p>
      <w:r>
        <w:t>4.1Der Beschwerdeführer rügt eine Rechtsverzögerung.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BES.2017.61 vom 2. Mai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wobei es bei den diesen Personen vorgeworfenen Straftatbeständen vorwiegend um Amtsmissbrauch geht. Die Anzeigen wurden am 10. Juni 2011 an den eingesetzten Staatsanwalt übermittelt. Am 1. November 2011 fand zur Klärung des Anzeigesachverhaltes in Sachen B____, C____, D____ und E____ eine Befragung des Beschwerdeführers statt. Erst am 9. Mai 2017 verfügte die Staatsanwaltschaft die Nichtanhandnahme der Strafanzeige wegen Amtsmissbrauchs.</w:t>
      </w:r>
    </w:p>
    <w:p>
      <w:r>
        <w:t>4.3Dass nach der am 1. November 2011 durchgeführten Befragung des Beschwerdeführers während fünfeinhalb Jahren keine konkreten Verfahrensschritte unternommen wurden, ist stossend. Weshalb die Staatsanwaltschaft erst am 9. Mai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BES.2017.61 vom 2. Mai 2017 E. 4.2). Es ist eine klare Rechtsverzögerung festzustellen.</w:t>
      </w:r>
    </w:p>
    <w:p>
      <w:r>
        <w:t>4.4Nach dem Gesagten ist in teilweiser Gutheissung der Beschwerde im Strafverfahren gegen B____, C____, D____ und E____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