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BES.2017.80 vom 11. Dezember 2017</w:t>
      </w:r>
    </w:p>
    <w:p>
      <w:r>
        <w:t>BS Appellationsgericht, 2017-12-11, DE</w:t>
      </w:r>
    </w:p>
    <w:p>
      <w:r>
        <w:rPr>
          <w:b/>
        </w:rPr>
        <w:t xml:space="preserve">Quelle: </w:t>
      </w:r>
      <w:r>
        <w:t>https://mcp.opencaselaw.ch/entscheid/bs_appellationsgericht_BES.2017.80</w:t>
      </w:r>
    </w:p>
    <w:p>
      <w:r>
        <w:t>FR: BS_APPELLATIONSGERICHT BES.2017.80 du 11 décembre 2017</w:t>
      </w:r>
    </w:p>
    <w:p>
      <w:r>
        <w:t>IT: BS_APPELLATIONSGERICHT BES.2017.80 del 11 dicembre 2017</w:t>
      </w:r>
    </w:p>
    <w:p>
      <w:pPr>
        <w:pStyle w:val="Heading2"/>
      </w:pPr>
      <w:r>
        <w:t>Erwägungen</w:t>
      </w:r>
    </w:p>
    <w:p>
      <w:r>
        <w:rPr>
          <w:b/>
        </w:rPr>
        <w:t>E. 1</w:t>
      </w:r>
    </w:p>
    <w:p>
      <w:r>
        <w:t>1.1Die angefochtene Verfügung des Einzelgerichts in Strafsachen vom 24. März 2016 ist ein Nichteintretensentscheid, mit dem nicht materiell über Straffragen befunden wird. Sie ist daher gemäss Art. 393 Abs. 1 lit. b in Verbindung mit Art. 80 Abs. 1 der Schweizerischen Strafprozessordnung (StPO, SR 312.0) mit Beschwerde anfechtbar. Zuständiges Beschwerdegericht ist das Appellationsgericht als Einzelgericht (§ 88 Abs. 1 in Verbindung mit § 93 Abs. 1 Ziff. 1 des Gerichtsorganisationsgesetzes [GOG, SG 154.100]). Der Beschwerdeführer hat ein rechtlich geschütztes Interesse an der Aufhebung des angefochtenen Entscheids und ist somit zur Beschwerde legitimiert (Art. 382 Abs. 1 StPO).</w:t>
      </w:r>
    </w:p>
    <w:p>
      <w:r>
        <w:t>1.2Die Beschwerde gegen mündlich oder schriftlich eröffnete Entscheide ist innert zehn Tagen schriftlich und begründet bei der Beschwerdeinstanz einzureichen (Art. 396 Abs. 1 StPO). Die Verfügung des Einzelgerichts in Strafsachen vom 3. Mai 2017 wurde von der Mutter des Beschwerdeführers am 18. Mai 2017 in Empfang genommen. Ihre im Namen des Beschwerdeführers verfasste Beschwerde wurde fristgemäss am 25. Mai 2017 der Schweizerischen Post übergeben. Innert der von der Verfahrensleiterin gesetzten Nachfrist wurde die Beschwerde auch vom Beschwerdeführer selbst unterzeichnet (vgl. zum Erfordernis der Nachfristansetzung: BGE 142 I 10 E. 141 E. 2.4.2, 2.4.3 S. 11 f; BGer 6B_1154/2015 vom 28. Juni 2016 E. 1.3.2 m.w.H.). Es ist daher auf sie einzutreten.</w:t>
      </w:r>
    </w:p>
    <w:p>
      <w:r>
        <w:rPr>
          <w:b/>
        </w:rPr>
        <w:t>E. 2</w:t>
      </w:r>
    </w:p>
    <w:p>
      <w:r>
        <w:t>2.1Die Vorinstanz ist auf die Einsprache gegen den Strafbefehl mit der Begründung nicht eingetreten, dass diese verspätet erhoben worden sei. Es trifft zwar zu, dass die Mutter des Beschwerdeführers den Strafbefehl am 10. März 2017 entgegengenommen und erst am 27. März 2017  also nach Ablauf der 10-tägigen Einsprachefrist  dagegen Beschwerde erhoben hat. Es ist indessen zunächst zu prüfen, ob der Strafbefehl überhaupt rechtsgültig zugestellt worden ist. Denn ein nicht rechtsgültig zugestellter Entscheid entfaltet keine Rechtswirkungen und löst keine Fristen aus. Einem Betroffenen kann folglich auch nicht vorgehalten werden, er habe eine Frist verpasst (BGE 142 IV 201 E. 204 S. 205).</w:t>
      </w:r>
    </w:p>
    <w:p>
      <w:r>
        <w:t>2.2Der Beschwerdeführer befand sich in der Zeit vom 13. Februar 2017 bis 13. April 2017 in Haft (vgl. Mitteilung IP Bratislava). Anschliessend wurde er stationär in die psychiatrische Abteilung der Klinik in [...] eingewiesen, wo er sich zumindest am 1. Oktober 2017 noch befand. Der an die Privatadresse des Beschwerdeführers gesandte Strafbefehl wurde am 10. März 2017 nicht von diesem selbst, sondern von seiner Mutter B____ entgegengenommen. Diese wohnte jedoch nicht an der gleichen Adresse wie der Beschwerdeführer. Art. 85 Abs. 3 StPO, wonach eine Sendung auch von einer im gleichen Haushalt wie der Adressat lebenden Person rechtsgültig entgegengenommen werden kann, findet daher keine Anwendung. Eine rechtsgültige Zustelladresse bei B____ bestand ebenfalls nicht. Die Staatsanwaltschaft stellt sich unter Berufung aufSchmid(in: Praxiskommentar zur Schweizerischen Strafprozessordnung, Zürich, 2. Auflage 2013, Art. 85 N 5) indessen auf den Standpunkt, der Strafbefehl sei dennoch rechtsgültig zugestellt worden, da der Beschwerdeführer geduldet habe, dass seine Mutter über einen längeren Zeitraum hinweg Sendungen für ihn entgegengenommen habe. Damit habe zumindest der Anschein für eine Vollmacht zur Entgegennahme des Strafbefehls bestanden. Eine Ersatzzustellung an einen unberechtigten Empfänger vermag grundsätzlich keine Rechtswirkungen zu entfalten. Dieser Mangel kann jedoch geheilt werden, wenn feststeht, dass der Adressat trotz der fehlerhaften Ersatzzustellung Kenntnis vom Inhalt des Strafbefehls erhalten hat (Daphinoff,Das Strafbefehlsverfahren in der Schweizerischen Strafprozessordnung, Zürich 2012, S. 533 f.). Im vorliegenden Fall besteht allerdings die Besonderheit, dass die  inzwischen verstorbene  Mutter des Beschwerdeführers glaubhaft geltend machte, dass ihr nach der Empfangnahme des Strafbefehls eine rechtzeitige Reaktion nicht möglich gewesen sei, da sie sich kurz darauf in Spitalpflege habe begeben müssen. Dem Beschwerdeführer selbst, der von seiner Mutter offenbar bloss telefonisch über den Strafbefehl informiert worden war, war eine rechtzeitige Reaktion wegen seiner Inhaftierung nicht möglich. Unter diesen Umständen besteht kein Raum für die Annahme einer Duldungsvollmacht oder einer Heilung des Zustellungsmangels. Es erscheint denn auch höchst stossend, wenn die Staatsanwaltschaft einerseits (überspitzt) formalistisch ein Nichteintreten auf die Beschwerde beantragt, weil der Beschwerdeführer diese nicht selbst unterschrieben hat, andererseits aber die Zustellung des Strafbefehls an eine nicht empfangsberechtigte Person als gültig erachten will. Es kann nicht angehen, von den rechtsunterworfenen juristischen Laien eine striktere Einhaltung der Verfahrensbestimmungen zu verlangen als von der Strafverfolgungsbehörden selbst. Die Familie des Beschwerdeführers hat sich trotz verschiedener familiärer Tragödien im ganzen Verfahren mit grossem Engagement bemüht, mit den Behörden zusammenzuarbeiten. Mehr konnte von ihr nicht verlangt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