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BES.2017.24 vom 20. Juni 2017</w:t>
      </w:r>
    </w:p>
    <w:p>
      <w:r>
        <w:t>BS Appellationsgericht, 2017-06-20, DE</w:t>
      </w:r>
    </w:p>
    <w:p>
      <w:r>
        <w:rPr>
          <w:b/>
        </w:rPr>
        <w:t xml:space="preserve">Quelle: </w:t>
      </w:r>
      <w:r>
        <w:t>https://mcp.opencaselaw.ch/entscheid/bs_appellationsgericht_BES.2017.24</w:t>
      </w:r>
    </w:p>
    <w:p>
      <w:r>
        <w:t>FR: BS_APPELLATIONSGERICHT BES.2017.24 du 20 juin 2017</w:t>
      </w:r>
    </w:p>
    <w:p>
      <w:r>
        <w:t>IT: BS_APPELLATIONSGERICHT BES.2017.24 del 20 giugno 2017</w:t>
      </w:r>
    </w:p>
    <w:p>
      <w:pPr>
        <w:pStyle w:val="Heading2"/>
      </w:pPr>
      <w:r>
        <w:t>Erwägungen</w:t>
      </w:r>
    </w:p>
    <w:p>
      <w:r>
        <w:rPr>
          <w:b/>
        </w:rPr>
        <w:t>E. 1</w:t>
      </w:r>
    </w:p>
    <w:p>
      <w:r>
        <w:t>Gegen Verfügungen und Verfahrenshandlungen der Staatsanwaltschaft kann innert 10 Tagen schriftlich und begründet Beschwerde erhoben werden (Art. 20 Abs. 1 lit. b i.V.m. Art. 393  Abs. 1 lit. a und Art. 396 Abs. 1 der Schweizerischen Strafprozessordnung [StPO, SR 312.0]). Entscheide betreffend die Bewilligung bzw. die Ablehnung der amtlichen Verteidigung sind praxisgemäss beschwerdefähig (Stephenson/Thiriet, in: Basler Kommentar, 2. Auflage 2014, Art. 393 StPO N 10; AGE BES.2017.6 vom 28. Februar 2017 E. 1.1, BES.2015.80 vom 10. November 2015 E. 1). Der Beschwerdeführer hat als Partei ein rechtlich geschütztes Interesse an der Aufhebung der angefochtenen Verfügung und ist somit zur Beschwerdeerhebung legitimiert (Art. 382 StPO). Zuständiges Beschwerdegericht ist das Appellationsgericht als Einzelgericht (§ 93 Abs. 1 Ziff. 1 des Gerichtsorganisationsgesetzes [GOG, SG 154.100]). Auf die frist- und formgerecht eingereichte Beschwerde ist einzutreten. Die Beschwerde wird im schriftlichen Verfahren behandelt (Art. 397 Abs. 1 StPO).</w:t>
      </w:r>
    </w:p>
    <w:p>
      <w:r>
        <w:rPr>
          <w:b/>
        </w:rPr>
        <w:t>E. 2</w:t>
      </w:r>
    </w:p>
    <w:p>
      <w:r>
        <w:t>Streitig und zu prüfen ist, ob das Gesuch des Beschwerdeführers um amtliche Verteidigung zu Recht abgewiesen wurde.</w:t>
      </w:r>
    </w:p>
    <w:p>
      <w:r>
        <w:t>2.1Unbestritten ist, dass kein Fall notwendiger Verteidigung im Sinne von Art. 132 Abs. 1 lit. a StPO vorliegt. Nach Art. 132 Abs. 1 lit. b StPO ist die amtliche Verteidigung überdies anzuordnen, wenn die beschuldigte Person nicht über die erforderlichen Mittel verfügt und die Verteidigung zur Wahrung ihrer Interessen geboten ist. Dieses Gebotensein wird in Art. 132 Abs. 2 und 3 StPO näher umschrieben: Es ist namentlich zu bejahen, wenn es sich nicht um einen Bagatellfall handelt und (kumulativ) derStraffall in tatsächlicher oder rechtlicher Hinsicht Schwierigkeiten bietet, denen die beschuldigte Person allein nicht gewachsenwäre (vgl. statt vieler BGer 1B_338/2016 vom 3. April 2017 [zur Publikation vorgesehen] E. 3.4, mit Hinweisen).</w:t>
      </w:r>
    </w:p>
    <w:p>
      <w:r>
        <w:t>Mit Art. 132 StPO wurde die bisherige bundesgerichtliche Rechtsprechung zu Art. 29 Abs. 3 Bundesverfassung (BV, SR 101) und Art. 6 Ziff.</w:t>
      </w:r>
    </w:p>
    <w:p>
      <w:r>
        <w:rPr>
          <w:b/>
        </w:rPr>
        <w:t>E. 3</w:t>
      </w:r>
    </w:p>
    <w:p>
      <w:r>
        <w:t>Nach dem Gesagten erweist sich die Beschwerde als unbegründet und ist daher abzuweisen. Bei diesem Ausgang des Verfahrens hat der Beschwerdeführer dessen Kosten zu tragen (Art. 428 Abs. 1 StPO). Die Entscheidgebühr wird auf CHF 500.‒ bemessen. Da das Verfahren nicht antragsgemäss mit dem Verfahren BES.2017.18 vereint wurde, wird auf deren Erhebung verzichtet.</w:t>
      </w:r>
    </w:p>
    <w:p>
      <w:r>
        <w:t>Der Beschwerdeführer beantragt auch für das Beschwerdeverfahren die amtliche Verteidigung. Diese ist infolge offensichtlicher Aussichtslosigkeit der Beschwerde abzuweisen (vgl. AGE BES.2017.51 vom 22. Mai 2017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