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BES.2017.109 vom 14. August 2017</w:t>
      </w:r>
    </w:p>
    <w:p>
      <w:r>
        <w:t>BS Appellationsgericht, 2017-08-14, DE</w:t>
      </w:r>
    </w:p>
    <w:p>
      <w:r>
        <w:rPr>
          <w:b/>
        </w:rPr>
        <w:t xml:space="preserve">Quelle: </w:t>
      </w:r>
      <w:r>
        <w:t>https://mcp.opencaselaw.ch/entscheid/bs_appellationsgericht_BES.2017.109</w:t>
      </w:r>
    </w:p>
    <w:p>
      <w:r>
        <w:t>FR: BS_APPELLATIONSGERICHT BES.2017.109 du 14 août 2017</w:t>
      </w:r>
    </w:p>
    <w:p>
      <w:r>
        <w:t>IT: BS_APPELLATIONSGERICHT BES.2017.109 del 14 agosto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BES.2017.113 vom 14. August 2017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BES.2017.113 vom 14. August 2017 E. 2).</w:t>
      </w:r>
    </w:p>
    <w:p>
      <w:r>
        <w:rPr>
          <w:b/>
        </w:rPr>
        <w:t>E. 3</w:t>
      </w:r>
    </w:p>
    <w:p>
      <w:r>
        <w:t>3.1Der Beschwerdeführer behauptet in seiner Einvernahme vom 22. Februar 2012, der Beschwerdegegner 2 habe aufgrund der Besprechung vom 17. August 2011 Kenntnis von den Ungerechtigkeiten gegen seine Person gehabt. Dieser habe anlässlich des Gesprächs bestätigt, Einfluss auf die Ernennung von B____ zum ausserordentlichen Staatsanwalt gehabt zu haben. Ein diesbezügliches Antragsrecht sei dem Beschwerdeführer durch das Justizdepartement abgesprochen worden. Deshalb sei er davon überzeugt, dass der Beschwerdegegner 2 in diese schmutzigen Sachen gegen ihn involviert sei und diese Sachen im Hintergrund auch manipuliert habe (act. 5/9 S. 10).</w:t>
      </w:r>
    </w:p>
    <w:p>
      <w:r>
        <w:t>Ausserdem wirft der Beschwerdeführer dem Beschwerdegegner 2 vor, er habe durch die Genehmigung des Schreibens von Staatsanwalt H____ vom 12. September 2012 einen Amtsmissbrauch begangen (act. 2 S. 3 und 6 f.).</w:t>
      </w:r>
    </w:p>
    <w:p>
      <w:r>
        <w:t>3.2Wie bereits erwähnt erfolgten sowohl in Sachen F____ und KK G____ Verfahrenseinstellungen, die vom Appellationsgericht geschützt wurden (AGE BES.2017.61 vom 2. Mai 2017 E. 3, BES.2017.62 vom 2. Mai 2017 E. 3). Dasselbe gilt in Sachen H____. Das Appellationsgericht bestätigte, dass dieser sich keines Amtsmissbrauchs schuldig gemacht hat (AGE BES.2017.113 vom 14. August 2017 E. 3.2).Wenn sich diese jedoch bereits keine strafbaren Handlungen oder Unterlassungen zuschulden haben kommen lassen, ist nicht ersichtlich, inwiefern der Beschwerdegegner 2 aufgrund von Kenntnis der polizeilichen Ermittlungen respektive der Genehmigung der Weiterleitung des Schreibens von Staatsanwalt H____ einen Amtsmissbrauch begangen haben soll.</w:t>
      </w:r>
    </w:p>
    <w:p>
      <w:r>
        <w:t>Der ausserordentliche Staatsanwalt führt unter Ziff. 2.9 f. und 3.6 seiner Einstellungsverfügung nachvollziehbar und juristisch korrekt aus, weshalb dem Beschwerdegegner 2 der Vorwurf des Amtsmissbrauchs nicht ansatzweise gemacht werden kann und dass deshalb die Verfahrenseinstellung zu erfolgen hat (act. 1 S. 5 f. und 9 f.). Dem gibt es weiter nichts beizufügen, zumal sich der Beschwerdeführer damit nicht ernsthaft auseinandersetzt. Exemplarisch kann auf die vom Beschwerdeführer erwähnte skandalöse Vertuschung in der BVB-Sache (act. 2 S. 7) und den Hinweis auf den Skandal vergangener Verdingverbrechen (act. 2 S. 8) verwiesen werden. Was damit genau gemeint ist, erhellt nicht aus der Beschwerdebegründung. Die BVB-Sache und Verdingverbrechen scheinen den Beschwerdeführer jedenfalls nicht einmal persönlich zu betreffen und sind nicht Gegenstand des vorliegenden Verfahrens.</w:t>
      </w:r>
    </w:p>
    <w:p>
      <w:r>
        <w:t>3.3Entsprechend den vorstehenden Ausführungen hatdie Vorinstanz das Strafverfahren gegen den Beschwerdegegner 2 zu Recht eingestellt.</w:t>
      </w:r>
    </w:p>
    <w:p>
      <w:r>
        <w:rPr>
          <w:b/>
        </w:rPr>
        <w:t>E. 4</w:t>
      </w:r>
    </w:p>
    <w:p>
      <w:r>
        <w:t>4.1Der Beschwerdeführer rügt eine Rechtsverzögerung (act. 2 S. 1 f. und 5).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BES.2017.113 vom 14. August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B____ vom Regierungsrat mit der Aufgabe betraut, sämtliche vom Beschwerdeführer erstatteten Strafanzeigen als ausserordentlicher Staatsanwalt zu bearbeiten. Die Anzeigen gegen den Beschwerdegegner 2 wurden am 1. September 2011 respektive 6. November 2012 an den eingesetzten Staatsanwalt übermittelt. Am 22. Februar 2012 respektive 12. Februar 2013 fand zur Klärung des Anzeigesachverhaltes eine Befragung des Beschwerdeführers statt. Weshalb es erst am 1. April 2015, und somit Jahre später, zu einer Befragung des Beschwerdegegners 2 durch den Staatsanwalt kam, ergibt sich nicht aus den Akten und ist nicht nachvollziehbar, zumal es sich bei den betreffenden Sachverhalten nicht um komplexe Geschehen handelt. Hingegen wiegen die Tatvorwürfe des Amtsmissbrauchs schwer, sodass bereits in der schleppenden Verfahrensführung eine Rechtsverzögerung festzustellen ist.</w:t>
      </w:r>
    </w:p>
    <w:p>
      <w:r>
        <w:t>Als besonders stossend kommt hinzu, dass nach der am 1. April 2015 durchgeführten Befragung des Beschwerdegegners 2 während über zwei Jahren keine konkreten Verfahrensschritte unternommen wurden. Erst am 26. Juni 2017 verfügte die Staatsanwaltschaft die Verfahrenseinstellung.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BES.2017.113 vom 14. August 2017 E. 4.2).</w:t>
      </w:r>
    </w:p>
    <w:p>
      <w:r>
        <w:t>4.3Nach dem Gesagten sind in teilweiser Gutheissung der Beschwerde im Strafverfahren gegen den Beschwerdegegner 2 mehrfache, vermeidbare Verzögerungen, die schliesslich zu einer überlangen Verfahrensdauer und somit zu einer Rechtsverzögerung geführt haben,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