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BES.2017.108 vom 26. März 2018</w:t>
      </w:r>
    </w:p>
    <w:p>
      <w:r>
        <w:t>BS Appellationsgericht, 2018-03-26, DE</w:t>
      </w:r>
    </w:p>
    <w:p>
      <w:r>
        <w:rPr>
          <w:b/>
        </w:rPr>
        <w:t xml:space="preserve">Quelle: </w:t>
      </w:r>
      <w:r>
        <w:t>https://mcp.opencaselaw.ch/entscheid/bs_appellationsgericht_BES.2017.108</w:t>
      </w:r>
    </w:p>
    <w:p>
      <w:r>
        <w:t>FR: BS_APPELLATIONSGERICHT BES.2017.108 du 26 mars 2018</w:t>
      </w:r>
    </w:p>
    <w:p>
      <w:r>
        <w:t>IT: BS_APPELLATIONSGERICHT BES.2017.108 del 26 marzo 2018</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Zuständig für den Entscheid ist nach der genannten Bestimmung die Strafbehörde. Die Kantone sind indessen befugt, neben den Strafbehörden auch anderen Behörden wie beispielsweise Gerichtsverwaltungen oder Inkassostellen der Strafbehörden die Befugnis der Stundung oder des Erlasses von Kosten einzuräumen (DOMEISEN, in: Basler Kommentar zur Strafprozessordnung,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w:t>
      </w:r>
    </w:p>
    <w:p>
      <w:r>
        <w:t>2.2Wie sich aus den dem Kostenerlassgesuch beigelegten Unterlagen ergibt, lebt der Gesuchsteller am, teilweise unter dem Existenzminimum, weshalb die oben genannten Kriterien für einen Kostenerlass gegeben sind und dem Gesuch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