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BES.2017.103 vom 25. Juli 2017</w:t>
      </w:r>
    </w:p>
    <w:p>
      <w:r>
        <w:t>BS Appellationsgericht, 2017-07-25, DE</w:t>
      </w:r>
    </w:p>
    <w:p>
      <w:r>
        <w:rPr>
          <w:b/>
        </w:rPr>
        <w:t xml:space="preserve">Quelle: </w:t>
      </w:r>
      <w:r>
        <w:t>https://mcp.opencaselaw.ch/entscheid/bs_appellationsgericht_BES.2017.103</w:t>
      </w:r>
    </w:p>
    <w:p>
      <w:r>
        <w:t>FR: BS_APPELLATIONSGERICHT BES.2017.103 du 25 juillet 2017</w:t>
      </w:r>
    </w:p>
    <w:p>
      <w:r>
        <w:t>IT: BS_APPELLATIONSGERICHT BES.2017.103 del 25 luglio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BES.2017.101 vom 17. Juli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BES.2017.43 vom 15. Mai 2017 E. 2.1).</w:t>
      </w:r>
    </w:p>
    <w:p>
      <w:r>
        <w:rPr>
          <w:b/>
        </w:rPr>
        <w:t>E. 3</w:t>
      </w:r>
    </w:p>
    <w:p>
      <w:r>
        <w:t>3.1Der Beschwerdeführer wirft dem Beschwerdegegner 2 vor, er habe durch die falsche telefonische Auskunft einen Amtsmissbrauch und üble Nachrede begangen. Es hätten nie zwei bis drei ausserordentliche Staatsanwälte agiert (act. 2 S. 4 f.).</w:t>
      </w:r>
    </w:p>
    <w:p>
      <w:r>
        <w:t>3.2Der ausserordentliche Staatsanwalt führt unter Ziff. 6 seiner Einstellungsverfügung nachvollziehbar und juristisch korrekt aus, weshalb dem Beschwerdegegner 2 der Vorwurf des Amtsmissbrauchs und der üblen Nachrede nicht ansatzweise gemacht werden kann und dass deshalb die Verfahrenseinstellung zu erfolgen hat (act. 1 S. 3). Dem gibt es weiter nichts beizufügen, zumal sich der Beschwerdeführer damit nicht ernsthaft auseinandersetzt.</w:t>
      </w:r>
    </w:p>
    <w:p>
      <w:r>
        <w:t>3.3Der Beschwerdeführer unterlässt es gänzlich, sich in seiner Beschwerde mit der Begründung der Einstellungsverfügung zum Vorwurf des Amtsmissbrauchs im Zusammenhang mit seiner Befragung in den Räumlichkeiten des Justiz- und Sicherheitsdepartements (Ziff. 7.1 f.) auseinanderzusetzen. Es kann deshalb vollumfänglich auf die überzeugenden Erwägungen der Staatsanwaltschaft verwiesen werden (act. 1 S. 3 f.).</w:t>
      </w:r>
    </w:p>
    <w:p>
      <w:r>
        <w:t>3.4Entsprechend den vorstehenden Ausführungen hatdie Vorinstanz das Strafverfahren gegen den Beschwerdegegner 2 zu Recht eingestellt.</w:t>
      </w:r>
    </w:p>
    <w:p>
      <w:r>
        <w:rPr>
          <w:b/>
        </w:rPr>
        <w:t>E. 4</w:t>
      </w:r>
    </w:p>
    <w:p>
      <w:r>
        <w:t>4.1Der Beschwerdeführer rügt eine Rechtsverzögerung (act. 2 S. 1 und 5).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BES.2017.101 vom 17. Juli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mit der Aufgabe betraut, sämtliche vom Beschwerdeführer erstatteten Strafanzeigen als ausserordentlicher Staatsanwalt zu bearbeiten. Die Anzeige gegen den Beschwerdegegner 2 wurde am 16. August 2012 an den eingesetzten Staatsanwalt übermittelt. Am 24. September 2012 fand zur Klärung des Anzeigesachverhaltes eine Befragung des Beschwerdeführers statt. Weshalb es erst am 4. Juni 2015, und somit Jahre später, zu einer Befragung des Beschwerdegegners 2 durch den Staatsanwalt kam, ergibt sich nicht aus den Akten und ist nicht nachvollziehbar, zumal es sich beim betreffenden Sachverhalt nicht um ein komplexes Geschehen handelt. Hingegen wiegen die Tatvorwürfe des Amtsmissbrauchs und der üblen Nachrede schwer, sodass bereits in der schleppenden Verfahrensführung eine Rechtsverzögerung festzustellen ist. Hinzu kommt, dass es für den Beschuldigten mit zunehmendem Abstand zur behaupteten Straftat immer schwieriger wird, sich überhaupt noch angemessen verteidigen zu können (AGE BES.2017.62 vom 2. Mai 2017 E. 4.2). Diesbezüglich kann exemplarisch auf das Befragungsprotokoll des Beschwerdegegners 2 (act. 4/23) verwiesen werden, der gemäss Seite 3 des Befragungsprotokolls aussagte: an den Inhalt dieses Gesprächs vermag ich mich heute nicht mehr zu erinnern. Zudem bedeutet es für einen Beschuldigten eine nicht zu unterschätzende Belastung, wenn über Jahre ein Strafverfahren hängig ist (AGE BES.2017.43 vom 15. Mai 2017 E. 4.2).</w:t>
      </w:r>
    </w:p>
    <w:p>
      <w:r>
        <w:t>Als besonders stossend kommt hinzu, dass nach der am 4. Juni 2015 durchgeführten Befragung des Beschwerdegegners 2 während zwei Jahren keine konkreten Verfahrensschritte unternommen wurden. Erst am 15. Juni 2017 verfügte die Staatsanwaltschaft die Verfahrenseinstellung.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BES.2017.43 vom 15. Mai 2017 E. 4.2).</w:t>
      </w:r>
    </w:p>
    <w:p>
      <w:r>
        <w:t>4.3Nach dem Gesagten sind in teilweiser Gutheissung der Beschwerde im Strafverfahren gegen den Beschwerdegegner 2 mehrfache, vermeidbare Verzögerungen, die schlussendlich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