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BES.2017.101 vom 17. Juli 2017</w:t>
      </w:r>
    </w:p>
    <w:p>
      <w:r>
        <w:t>BS Appellationsgericht, 2017-07-17, DE</w:t>
      </w:r>
    </w:p>
    <w:p>
      <w:r>
        <w:rPr>
          <w:b/>
        </w:rPr>
        <w:t xml:space="preserve">Quelle: </w:t>
      </w:r>
      <w:r>
        <w:t>https://mcp.opencaselaw.ch/entscheid/bs_appellationsgericht_BES.2017.101</w:t>
      </w:r>
    </w:p>
    <w:p>
      <w:r>
        <w:t>FR: BS_APPELLATIONSGERICHT BES.2017.101 du 17 juillet 2017</w:t>
      </w:r>
    </w:p>
    <w:p>
      <w:r>
        <w:t>IT: BS_APPELLATIONSGERICHT BES.2017.101 del 17 luglio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 Beschwerden gegen Nichtanhandnahmeverfügungen sind gemäss Art. 310 Abs. 2 StPO analog zu behandeln (vgl.Omlin, in: Basler Kommentar, 2. Auflage 2014,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BES.2017.27 vom 11. April 2017 E. 1.2). Der Beschwerdeführer ist als Anzeigesteller durch die Nichtanhandnahme grundsätzlich selbst und unmittelbar in seinen Interessen tangiert, da das angezeigte Delikt zu seinem Nachteil begangen worden sein soll. Entsprechend hat er ein Interesse an der Aufhebung der Nichtanhandnahmeverfügung,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Gemäss Art. 310 Abs. 1 lit. a StPO verfügt die Staatsanwaltschaft die Nicht-anhandnahme, sofern aufgrund der Strafanzeige oder des Polizeirapports feststeht, dass die fraglichen Straftatbestände eindeutig nicht erfüllt sind. Eine Nichtanhandnahmeverfügung hat zu ergehen, wenn der Fall allein aufgrund der Akten sowohl in rechtlicher als auch in tatsächlicher Hinsicht klar und bereits aus den Akten ersichtlich ist, dass der zur Beurteilung vorliegende Sachverhalt mit Sicherheit unter keinen Straftatbestand fällt, so dass die Führung eines Verfahrens geradezu aussichtslos erscheint.Die fraglichen Tatbestände können als eindeutig nicht erfüllt erachtet werden, wenn gar nie ein Verdacht hätte geschöpft werden dürfen. Dies ist beispielsweise der Fall, wenn eine Strafanzeige unglaubhaft ist oder sich keine deliktsrelevanten Anhaltspunkte feststellen lassen. 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sein.Bei Vorliegen der in Art. 310 StPO genannten Gründe darf die Staatsanwaltschaft kein Strafverfahren eröffnen, sondern muss eine Nichtanhandnahmeverfügung erlassen  die Vorschrift hat zwingenden Charakter (AGE BES.2017.27 vom 11. April 2017 E. 2.1, BES.2015.130 vom 15. Dezember 2015 E. 2;Omlin, a.a.O., Art. 310 StPO N 6 ff.).</w:t>
      </w:r>
    </w:p>
    <w:p>
      <w:r>
        <w:rPr>
          <w:b/>
        </w:rPr>
        <w:t>E. 3</w:t>
      </w:r>
    </w:p>
    <w:p>
      <w:r>
        <w:t>3.1Der Beschwerdeführer wirft dem damals noch als Strafgerichtspräsidenten tätigen C____ vor, er habe durch die damalige Abtrennung des Verfahrens gegen E____ vom Verfahren gegen den Beschwerdeführer und dessen Tochter F____, gegen welche von der Staatsanwaltschaft am 2. Juli 2008 wegen in Mittäterschaft begangener Veruntreuung eines Leasingfahrzeuges Anklage erhoben worden war (act. 4/5), einen Amtsmissbrauch begangen (Beschwerde Ziff. B.III.2 und 4 S. 4 f.).</w:t>
      </w:r>
    </w:p>
    <w:p>
      <w:r>
        <w:t>3.2Amtsmissbrauch im Sinne von Art. 312 StGB begeht, wer als Mitglied einer Behörde oder Beamter seine Amtsgewalt missbraucht, um sich oder einer anderen Person einen unrechtmässigen Vorteil zu verschaffen oder jemandem einen Nachteil zuzufügen. Dieser hinsichtlich der Tathandlung sehr allgemein gehaltene Tatbestand erfährt durch die höchstrichterliche Praxis eine einschränkende Auslegung, wonach nur diejenige Person ihr Amt missbraucht, welche die ihr verliehenen Machtbefugnisse unrechtmässig anwendet, indem sie kraft ihres Amtes verfügt oder Zwang ausübt, wo dies nicht geschehen dürfte. In subjektiver Hinsicht ist Vorsatz erforderlich, das heisst, dass sich der Täter über seine Sondereigenschaft im Klaren sein und bewusst seine Amtsgewalt missbrauchen muss. Daran fehlt es, wenn er glaubt, pflichtgemäss zu handeln. Zusätzlich muss eine Vorteils- oder Benachteiligungsabsicht vorliegen (Trechsel/Vest, in: Trechsel/Pieth [Hrsg.], Schweizerisches Strafgesetzbuch, Praxiskommentar, 2. Auflage, Zürich/St. Gallen 2013, Art. 312 N 7).</w:t>
      </w:r>
    </w:p>
    <w:p>
      <w:r>
        <w:t>3.3Aus den Akten ergibt sich, dass die Verfahrensabtrennung E____ vom Verfahren gegen den Beschwerdeführer und dessen Tochter von C____ als ultima ratio, nach mehrmaligem Verschieben der Hauptverhandlung infolge diverser Verhandlungshemmnisse, die jeweils mit gesundheitlichen Problemen der Mitangeklagten E____ und F____ sowie des Verteidigers von F____ zu tun hatten, vorgenommen wurde. Jeder Verhandlungsverschiebung lag ein ausreichendes Arztzeugnis zugrunde (act. 4/6-20 und 24-26).</w:t>
      </w:r>
    </w:p>
    <w:p>
      <w:r>
        <w:t>3.4Der ausserordentliche Staatsanwalt zeigt unter Ziff. 5.1 f. (S. 3 f.) seiner Nichtanhandnahmeverfügung minutiös, überzeugend und unter Einbezug der damals gültigen strafprozessualen Grundsätze auf, dass in der Verfahrensabtrennung E____ vom Verfahren gegen den Beschwerdeführer und dessen Tochter weit und breit kein Amtsmissbrauch erblickt werden kann, da es für eine solche einen sachlichen Grund (Achtung des Beschleunigungsgebotes) gab. Auch unter dem Regime der heute gültigen Eidgenössischen Strafprozessordnung, welche bei Mittäterschaft das Gebot der Einheit des Verfahrens zwar gesetzlich vorschreibt (Art. 29 Abs. 1 lit. b StPO), wird die Abtrennung aus sachlichen Gründen in Art. 30 StPO nun sogar explizit zugelassen.</w:t>
      </w:r>
    </w:p>
    <w:p>
      <w:r>
        <w:t>Richtig führt der ausserordentliche Staatsanwalt weiter aus, dass nicht jede für den Betroffenen unliebsame Handlung oder selbst behördliche Fehler  wenn es überhaupt ein solcher wäre, was in vorliegender Sache gerade nicht der Fall ist  eine Straftat darstellen (angefochtene Verfügung Ziff. 5.1 S. 3).</w:t>
      </w:r>
    </w:p>
    <w:p>
      <w:r>
        <w:t>Schon gar nicht nachvollziehbar ist, was Gerichtsschreiber D____ mit dem Entscheid betreffend Verfahrenstrennung zu tun haben sollte, hat eine solche in einem Fall von Einzelrichterkompetenz allein der Verfahrensleiter  in concreto der Instruktionsrichter  vorzunehmen.</w:t>
      </w:r>
    </w:p>
    <w:p>
      <w:r>
        <w:t>Die Vorinstanz hat daher die Strafanzeige zu Recht nicht an die Hand genommen.</w:t>
      </w:r>
    </w:p>
    <w:p>
      <w:r>
        <w:rPr>
          <w:b/>
        </w:rPr>
        <w:t>E. 4</w:t>
      </w:r>
    </w:p>
    <w:p>
      <w:r>
        <w:t>4.1Der Beschwerdeführer rügt eine Rechtsverzögerung (Beschwerde Ziff. B.III.6 f. S. 6). Gemäss Art. 29 Abs. 1 der Bundesverfassung (BV, SR 101)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BES.2017.61 vom 2. Mai 2017 E. 4.1). Nach aktuellster bundesgerichtlicher Rechtsprechung verletzt die Staatsanwaltschaft das Beschleunigungsgebot, wenn sie während mehr als sechs Monaten ohne sachlich nachvollziehbaren Grund beziehungsweise mangels ausreichender behördlicher Ressourcen untätig bleibt (BGer 1B_55/2017 vom 24. Mai 2017 E. 4).</w:t>
      </w:r>
    </w:p>
    <w:p>
      <w:r>
        <w:t>4.2Mit Entscheid vom 7. Juni 2011 wurde B____ vom Regierungsrat Basel-Stadt mit der Aufgabe betraut, sämtliche vom Beschwerdeführer gegen Personen der Basler Strafverfolgungsbehörden und Gerichte erstatteten Strafanzeigen als ausserordentlicher Staatsanwalt zu bearbeiten. Dabei handelt es sich um 15 Anzeigen, wobei es bei den diesen Personen vorgeworfenen Straftatbeständen vorwiegend um Amtsmissbrauch geht. Die Anzeigen wurden am 10. Juni 2011 an den eingesetzten Staatsanwalt übermittelt. Am 1. November 2011 fand zur Klärung des Anzeigesachverhaltes in Sachen C____ und D____ eine Befragung des Beschwerdeführers statt. Erst am 15. Juni 2017 verfügte die Staatsanwaltschaft die Nichtanhandnahme der Strafanzeige wegen Amtsmissbrauchs.</w:t>
      </w:r>
    </w:p>
    <w:p>
      <w:r>
        <w:t>4.3Dass nach der am 1. November 2011 durchgeführten Befragung des Beschwerdeführers während über fünfeinhalb Jahren keine konkreten Verfahrensschritte unternommen wurden, ist stossend. Weshalb die Staatsanwaltschaft erst am 15. Juni 2017 die Nichtanhandnahme verfügte, ergibt sich nicht aus den Akten und ist nicht nachvollziehbar, zumal es sich beim betreffenden Sachverhalt nicht um ein komplexes Geschehen handelt.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BES.2017.61 vom 2. Mai 2017 E. 4.2). Es ist eine klare Rechtsverzögerung festzustellen.</w:t>
      </w:r>
    </w:p>
    <w:p>
      <w:r>
        <w:t>4.4Nach dem Gesagten ist in teilweiser Gutheissung der Beschwerde im Strafverfahren gegen C____ und D____ eine überlange Verfahrensdauer und somit eine Rechtsverzögerung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