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BES.2016.80 vom 7. Juni 2016</w:t>
      </w:r>
    </w:p>
    <w:p>
      <w:r>
        <w:t>BS Appellationsgericht, 2016-06-07, DE</w:t>
      </w:r>
    </w:p>
    <w:p>
      <w:r>
        <w:rPr>
          <w:b/>
        </w:rPr>
        <w:t xml:space="preserve">Quelle: </w:t>
      </w:r>
      <w:r>
        <w:t>https://mcp.opencaselaw.ch/entscheid/bs_appellationsgericht_BES.2016.80</w:t>
      </w:r>
    </w:p>
    <w:p>
      <w:r>
        <w:t>FR: BS_APPELLATIONSGERICHT BES.2016.80 du 7 juin 2016</w:t>
      </w:r>
    </w:p>
    <w:p>
      <w:r>
        <w:t>IT: BS_APPELLATIONSGERICHT BES.2016.80 del 7 giugno 2016</w:t>
      </w:r>
    </w:p>
    <w:p>
      <w:pPr>
        <w:pStyle w:val="Heading2"/>
      </w:pPr>
      <w:r>
        <w:t>Erwägungen</w:t>
      </w:r>
    </w:p>
    <w:p>
      <w:r>
        <w:rPr>
          <w:b/>
        </w:rPr>
        <w:t>E. 1</w:t>
      </w:r>
    </w:p>
    <w:p>
      <w:r>
        <w:t>1.1Die Verfügung des Einzelgerichts in Strafsachen vom 7. April 2016 ist ein Nichteintretensentscheid, in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88 Abs. 1 und § 93 Abs. 1 Ziff. 1 des Gerichtsorganisationsgesetzes [GOG, SG 154.100]).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Die Frist beginnt einen Tag nach Zustellung des Urteils zu laufen (Art. 90 Abs. 1 StPO). Fällt das Fristende auf einen Samstag, Sonntag oder Feiertag, so endet die Frist am nächstfolgenden Werktag (Art. 90 Abs. 2 StPO). Vorliegend hat der Beschwerdeführer den Nichteintretensentscheid vom 7. April 2016 nachweislich am 14. April 2016 entgegen genommen (vgl. Rückschein, act. 5 S. 30). Die Zehntagesfrist endete folglich am 25. April 2016. Eingaben müssen spätestens am letzten Tag der Frist bei der Strafbehörde abgegeben oder der Schweizerischen Post, einer schweizerischen diplomatischen oder konsularischen Vertretung übergeben werden (Art. 91 Abs. 2 StPO; RIEDO, in: Basler Kommentar zur Schweizerischen Strafprozessordnung, 2. Auflage, Basel 2014, Art. 91 N 13). Die Übergabe an eine ausländische Postgesellschaft hat keine fristwahrende Wirkung (Riedo,a.a.O., Art. 91 N 21). Den Akten ist zu entnehmen, dass der Beschwerdeführer sein Schreiben am 23. April 2016 in Frankreich aufgab. Der Schweizerischen Post wurde die Beschwerde jedoch erst am 27. April 2016 übergeben, weshalb infolge Verspätung nicht darauf einzutreten ist. Dies gilt umso mehr, als der Beschwerdeführer mit der der Verfügung des Einzelgerichts in Strafsachen beigefügten und in französischer Sprache abgefassten Rechtsmittelbelehrung auf diese Fristen hingewiesen wurde.</w:t>
      </w:r>
    </w:p>
    <w:p>
      <w:r>
        <w:t>1.3Im Übrigen ist darauf hinzuweisen, dass auf die Beschwerde auch deshalb nicht einzutreten ist, weil die unterzeichnende Person B____ nicht Verfügungsadressat bzw. Verfügungsadressatin ist. Damit fehlt es ihr am für die Beschwerdelegitimation erforderlichen rechtlich geschützten Interesse an der Aufhebung oder Änderung eines Entscheides gemäss Art. 382 Abs. 1 StPO.</w:t>
      </w:r>
    </w:p>
    <w:p>
      <w:r>
        <w:rPr>
          <w:b/>
        </w:rPr>
        <w:t>E. 2</w:t>
      </w:r>
    </w:p>
    <w:p>
      <w:r>
        <w:t>Ergänzend ist festzuhalten, dass die Beschwerde bei materieller Behandlung abzuweisen wäre, da die Vorinstanz zufolge Verspätung zu Recht nicht auf die Einsprache gegen den Strafbefehl eingetreten ist und der Beschwerdeführer in seiner Beschwerdebegründung keine Gründe vorbringt, weshalb es ihm nicht möglich war, die Einsprache rechtzeitig zu erheben. Gemäss Art. 354 Abs. 1 StPO kann die beschuldigte Person gegen einen Strafbefehl innert 10 Tagen nach seiner Zustellung schriftlich Einsprache erheben. Ohne gültige Einsprache wird der Strafbefehl zum rechtskräftigen Urteil (Art. 354 Abs. 3 StPO). Für die Einhaltung der Frist gilt das oben Gesagte. Der Strafbefehl wurde vom Beschwerdeführer gemäss Sendungsnachverfolgung am 13. Januar 2016 in Empfang genommen. Die zehntägige Frist lief dementsprechend am 25. Januar 2016 ab. Die Einsprache ist jedoch erst am 6. Februar 2016 bei der Grenzstelle der Schweizerischen Post eingetroffen. Folglich war die Einsprache verspätet.</w:t>
      </w:r>
    </w:p>
    <w:p>
      <w:r>
        <w:rPr>
          <w:b/>
        </w:rPr>
        <w:t>E. 3</w:t>
      </w:r>
    </w:p>
    <w:p>
      <w:r>
        <w:t>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