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BES.2016.64 vom 5. Juli 2016</w:t>
      </w:r>
    </w:p>
    <w:p>
      <w:r>
        <w:t>BS Appellationsgericht, 2016-07-05, DE</w:t>
      </w:r>
    </w:p>
    <w:p>
      <w:r>
        <w:rPr>
          <w:b/>
        </w:rPr>
        <w:t xml:space="preserve">Quelle: </w:t>
      </w:r>
      <w:r>
        <w:t>https://mcp.opencaselaw.ch/entscheid/bs_appellationsgericht_BES.2016.64</w:t>
      </w:r>
    </w:p>
    <w:p>
      <w:r>
        <w:t>FR: BS_APPELLATIONSGERICHT BES.2016.64 du 5 juillet 2016</w:t>
      </w:r>
    </w:p>
    <w:p>
      <w:r>
        <w:t>IT: BS_APPELLATIONSGERICHT BES.2016.64 del 5 luglio 2016</w:t>
      </w:r>
    </w:p>
    <w:p>
      <w:pPr>
        <w:pStyle w:val="Heading2"/>
      </w:pPr>
      <w:r>
        <w:t>Erwägungen</w:t>
      </w:r>
    </w:p>
    <w:p>
      <w:r>
        <w:rPr>
          <w:b/>
        </w:rPr>
        <w:t>E. 1</w:t>
      </w:r>
    </w:p>
    <w:p>
      <w:r>
        <w:t>und 93 Abs. 1 Ziff. 1 des Gerichtsorganisationsgesetzes [GOG, SG 154.100]).</w:t>
      </w:r>
    </w:p>
    <w:p>
      <w:r>
        <w:t>1.2Zur Beschwerde legitimiert ist jede Partei, die ein rechtlich geschütztes Interesse an der Aufhebung oder Änderung eines Entscheides hat (Art. 382 Abs. 1 StPO); dies ist beim Beschwerdeführer als Adressat der angefochtenen Verfügung der Fall. Die Beschwerde ist gemäss Art. 396 StPO form- und fristgerecht eingereicht und begründet worden, sodass auf sie einzutreten ist.</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Der Strafgerichtspräsident hat die Einsprache abgewiesen, da vor Zustellung des Strafbefehls bereits zwei (nicht eingeschriebene) Briefe in englischer Sprache, nämlich am 23. Juli 2015 die Übertretungsanzeige und am 24. September 2015 die Zahlungserinnerung, an den Beschwerdeführer versandt worden seien. Unter diesen Umständen sei nach Rechtsprechung des Appellationsgerichts davon auszugehen, dass der Beschuldigte zumindest eines dieser Schreiben erhalten habe.</w:t>
      </w:r>
    </w:p>
    <w:p>
      <w:r>
        <w:rPr>
          <w:b/>
        </w:rPr>
        <w:t>E. 3</w:t>
      </w:r>
    </w:p>
    <w:p>
      <w:r>
        <w:t>3.1Gemäss Entscheiden des Appellationsgerichts AGE BES.2013.31 vom 12. Juli 2013 und BES.2014.44 vom 28. Juli 2014 obliegt die Beweislast für die Zustellung von Verfügungen und Entscheiden der Behörde. Sie hat auf geeignete Art den Beweis dafür zu erbringen, dass und wann die Zustellung erfolgt ist (vgl. BGE 129 I 8 E. 2.2 S. 10 f.; BGer 2C_128/2012 vom 29. Mai 2012 E. 2.2; 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 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hat das Appellationsgericht die Zustellung von drei Ordnungsbussen, drei Strafbefehlen sowie einer Mahnung als nachgewiesen erachtet, die zu unterschiedlichen Zeitpunkten mit gewöhnlicher Post (d.h. nicht eingeschrieben) an die richtige Adresse versandt wurden, ohne dass die Adressatin darauf reagiert hätte (VGE VD.2010.257 vom 3. Mai 2011; bestätigt durch BGer 6B_462/2011 vom 17. Oktober 2011 E. 3).</w:t>
      </w:r>
    </w:p>
    <w:p>
      <w:r>
        <w:t>3.2Seit dem Inkrafttreten der Schweizerischen Strafprozessordnung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w:t>
      </w:r>
    </w:p>
    <w:p>
      <w:r>
        <w:rPr>
          <w:b/>
        </w:rPr>
        <w:t>E. 7</w:t>
      </w:r>
    </w:p>
    <w:p>
      <w:r>
        <w:t>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und Zahlungserinnerungen im Ordnungsbussenverfahren grundsätzlich zulässig.</w:t>
      </w:r>
    </w:p>
    <w:p>
      <w:r>
        <w:t>3.3In den Akten finden sich Kopien der polizeilichen Übertretungsanzeige und der Zahlungserinnerung in englischer Sprache, welche am 23. Juli 2015 und am 24. September 2015 mit gewöhnlicher Post an die Adresse des Beschwerdeführers versandt wurden. Zwar ist es im Falle eines einmaligen Versandes mit einfacher Post nicht auszuschliessen, dass die Sendung nicht ankommt. Bei einer zweimaligen Zustellung wird die Möglichkeit eines Zustellungsfehlers jedoch vernachlässigbar klein, da sich die Adresse des Beschwerdeführers, die bei allen Briefsendungen verwendet wurde, als richtig und funktionsfähig herausgestellt hat  der an seine Adresse gerichtete, mit eingeschriebener Post versandte Strafbefehl und der Entscheid der ersten Instanz konnten ihm zugestellt werden. Aufgrund dieser Umstände ist es ausgeschlossen, dass weder die Übertretungsanzeige noch die Zahlungserinnerung beim Beschwerdeführer angekommen ist, obwohl diese korrekt adressiert und zu unterschiedlichen Zeitpunkten, nämlich am 23. Juli 2015 und am 24. September 2015, versandt wurden. Es ist davon auszugehen, dass der Beschwerdeführer durch den Erhalt mindestens eines der beiden Schreiben hinreichend über die vorgeworfene Tat, die Busse und seine Möglichkeiten, die Busse zu bezahlen oder den Vorwurf zu bestreiten, andernfalls das kostenpflichtige ordentliche Verfahren eingeleitet werde, in Kenntnis gesetzt worden ist. Seine Behauptung, er habe im Vorfeld des Strafbefehls keine Sendung erhalten, erweist sich damit als Schutzbehauptung.</w:t>
      </w:r>
    </w:p>
    <w:p>
      <w:r>
        <w:t>3.4.Da der Beschwerdeführer auf die Übertretungsanzeige und die Zahlungserinnerung nicht innert Frist reagiert hat, wurde das Verfahren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w:t>
      </w:r>
    </w:p>
    <w:p>
      <w:r>
        <w:t>4.</w:t>
      </w:r>
    </w:p>
    <w:p>
      <w:r>
        <w:t>Aus dem Dargelegten ergibt sich, dass die Beschwerde abzuweisen ist. Bei diesem Ausgang des Verfahrens hat der Beschwerdeführer gemäss Art. 428 Abs. 1 StPO dessen Kosten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