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BES.2016.26 vom 7. März 2016</w:t>
      </w:r>
    </w:p>
    <w:p>
      <w:r>
        <w:t>BS Appellationsgericht, 2016-03-07, DE</w:t>
      </w:r>
    </w:p>
    <w:p>
      <w:r>
        <w:rPr>
          <w:b/>
        </w:rPr>
        <w:t xml:space="preserve">Quelle: </w:t>
      </w:r>
      <w:r>
        <w:t>https://mcp.opencaselaw.ch/entscheid/bs_appellationsgericht_BES.2016.26</w:t>
      </w:r>
    </w:p>
    <w:p>
      <w:r>
        <w:t>FR: BS_APPELLATIONSGERICHT BES.2016.26 du 7 mars 2016</w:t>
      </w:r>
    </w:p>
    <w:p>
      <w:r>
        <w:t>IT: BS_APPELLATIONSGERICHT BES.2016.26 del 7 marzo 2016</w:t>
      </w:r>
    </w:p>
    <w:p>
      <w:pPr>
        <w:pStyle w:val="Heading2"/>
      </w:pPr>
      <w:r>
        <w:t>Erwägungen</w:t>
      </w:r>
    </w:p>
    <w:p>
      <w:r>
        <w:rPr>
          <w:b/>
        </w:rPr>
        <w:t>E. 1</w:t>
      </w:r>
    </w:p>
    <w:p>
      <w:r>
        <w:t>1.1Verfügungen und Beschlüsse sowie Verfahrenshandlungen der erstinstanzlichen Gerichte können mit Beschwerde bei der Beschwerdeinstanz angefochten werden (Art. 393 Abs. 1 lit. b der Schweizerischen Strafprozessordnung [StPO, SR 312.0]). Zuständiges Beschwerdegericht ist das Appellationsgericht als Einzelgericht (§§</w:t>
      </w:r>
    </w:p>
    <w:p>
      <w:r>
        <w:rPr>
          <w:b/>
        </w:rPr>
        <w:t>E. 4</w:t>
      </w:r>
    </w:p>
    <w:p>
      <w:r>
        <w:t>lit. c und 17 lit. b des baselstädtischen Gesetzes über die Einführung der Schweizerischen Strafprozessordnung [EG StPO; SG 257.100]; § 73a Abs. 1 lit. a des Gerichtsorganisationsgesetzes, GOG [SG 154.100]). Der Beschwerdeführer hat ein rechtlich geschütztes Interesse an der Aufhebung oder Änderung des angefochtenen Entscheides und ist somit zur Beschwerdeerhebung legitimiert (art. 382 Abs. 1 StPO).</w:t>
      </w:r>
    </w:p>
    <w:p>
      <w:r>
        <w:t>1.2Beschwerden müssen gemäss Art. 396 Abs. 1 StPO innert zehn Tagen seit Eröffnung des Entscheids oder der Verfügung schriftlich und begründet bei der Beschwerdeinstanz eingereicht werden.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angefochtene Verfügung des Einzelgerichts in Strafsachen wurde dem Beschwerdeführer gemäss Sendungsinformation der Post (act. 4) am 19. Januar 2016 zugestellt. Die Beschwerdefrist begann daher am 20. Januar 2016 zu laufen und endete am 29. Januar 2016. Der Beschwerdeführer hat seine Beschwerde jedoch erst am 4. Februar 2016 bei der Post aufgegeben. Damit hat er die Beschwerdefrist nicht eingehalten, so dass auf seine Beschwerde nicht eingetreten werden kann.</w:t>
      </w:r>
    </w:p>
    <w:p>
      <w:r>
        <w:t>1.3Im Übrigen wäre der Beschwerde auch bei rechtzeitiger Einreichung kein Erfolg beschieden gewesen, da der Beschwerdeführer bereits die Einsprache gegen den Strafbefehl verspätet erhoben hatte und das Einzelgericht in Strafsachen daher zu Recht nicht auf die Einsprache eingetreten ist.</w:t>
      </w:r>
    </w:p>
    <w:p>
      <w:r>
        <w:t>2.</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