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BES.2016.178 vom 16. Dezember 2016</w:t>
      </w:r>
    </w:p>
    <w:p>
      <w:r>
        <w:t>BS Appellationsgericht, 2016-12-16, DE</w:t>
      </w:r>
    </w:p>
    <w:p>
      <w:r>
        <w:rPr>
          <w:b/>
        </w:rPr>
        <w:t xml:space="preserve">Quelle: </w:t>
      </w:r>
      <w:r>
        <w:t>https://mcp.opencaselaw.ch/entscheid/bs_appellationsgericht_BES.2016.178</w:t>
      </w:r>
    </w:p>
    <w:p>
      <w:r>
        <w:t>FR: BS_APPELLATIONSGERICHT BES.2016.178 du 16 décembre 2016</w:t>
      </w:r>
    </w:p>
    <w:p>
      <w:r>
        <w:t>IT: BS_APPELLATIONSGERICHT BES.2016.178 del 16 dicembre 2016</w:t>
      </w:r>
    </w:p>
    <w:p>
      <w:pPr>
        <w:pStyle w:val="Heading2"/>
      </w:pPr>
      <w:r>
        <w:t>Erwägungen</w:t>
      </w:r>
    </w:p>
    <w:p>
      <w:r>
        <w:rPr>
          <w:b/>
        </w:rPr>
        <w:t>E. 1</w:t>
      </w:r>
    </w:p>
    <w:p>
      <w:r>
        <w:t>1.1Bei der Verfügung des Strafgerichts vom 7. Oktober 2016 handelt es sich um einen Kostenentscheid, mit dem nicht materiell über Straf- oder Zivilfragen befunden wurde. Daher kommt das Beschwerdeverfahren gemäss Art. 393 Abs. 1 lit. b i.V.m. Art. 80 Abs. 1 der Schweizerischen Strafprozessordnung (StPO, SR 312.0) zur Anwendung (Schwarzenegger, in: Donatsch et al. [Hrsg.], Kommentar zur Schweizerischen Strafprozessordnung, 2. Auflage, Zürich 2014, Art. 356 N 2). Zuständige Beschwerdeinstanz ist das Einzelgericht des Appellationsgerichts (§  88 Abs. 1 und 93 Abs. 1 Ziff. 1 des Gerichtsorganisationsgesetzes [GOG, SG 154.100]).</w:t>
      </w:r>
    </w:p>
    <w:p>
      <w:r>
        <w:t>1.2Zur Beschwerde legitimiert ist jede Partei, die ein rechtlich geschütztes Interesse an der Aufhebung oder Änderung eines Entscheides hat (Art. 382 Abs. 1 StPO); dies ist bei der Beschwerdeführerin als Adressatin der angefochtenen Verfügung der Fall. Die Beschwerde ist gemäss Art. 396 StPO form- und fristgerecht eingereicht und begründet worden, so dass auf sie einzutreten ist.</w:t>
      </w:r>
    </w:p>
    <w:p>
      <w:r>
        <w:t>1.3Mit der Beschwerde können Rechtsverletzungen, einschliesslich Überschreitung und Missbrauch des Ermessens, Rechtsverweigerung und Rechtsverzögerung, die unvollständige oder unrichtige Feststellung des Sachverhaltes sowie Unangemessenheit gerügt werden (Art. 393 Abs. 2 StPO).</w:t>
      </w:r>
    </w:p>
    <w:p>
      <w:r>
        <w:rPr>
          <w:b/>
        </w:rPr>
        <w:t>E. 2</w:t>
      </w:r>
    </w:p>
    <w:p>
      <w:r>
        <w:t>Die Strafgerichtspräsidentin hat den Strafbefehl bestätigt, da vor der Zustellung des Strafbefehls bereits zwei (nicht eingeschriebene) Briefe, nämlich am 29. Juli 2015 die Übertretungsanzeige und am 1. Oktober 2015 die Zahlungserinnerung, an die Beschwerdeführerin versandt worden waren. Beide Schreiben wurden an die Adresse gesendet, an welche in der Folge der Strafbefehl und das Schreiben des Strafgerichts vom 19. September 2016 zugestellt werden konnten. Die Vorinstanz hielt fest, unter diesen Umständen sei nach ständiger Rechtsprechung des Appellationsgerichts davon auszugehen, dass die Beschuldigte zumindest eines dieser Schreiben erhalten habe. Bereits mit Schreiben vom 11. Juli 2016 seitens der Staatsanwaltschaft war die Beschwerdeführerin über diese ständige Rechtsprechung des Appellationsgerichts aufgeklärt worden.</w:t>
      </w:r>
    </w:p>
    <w:p>
      <w:r>
        <w:rPr>
          <w:b/>
        </w:rPr>
        <w:t>E. 3</w:t>
      </w:r>
    </w:p>
    <w:p>
      <w:r>
        <w:t>3.1In den Akten finden sich Kopien der polizeilichen Übertretungsanzeige und der Zahlungserinnerung, welche am 29. Juli 2015 und am 1. Oktober 2015 mit gewöhnlicher Post an die Adresse der Beschwerdeführerin versandt wurden. Zwar ist im Falle eines einmaligen Versandes mit einfacher Post nicht auszuschliessen, dass die Sendung nicht ankommt. Bei einer zweimaligen Zustellung wird die Möglichkeit eines Zustellungsfehlers jedoch vernachlässigbar klein, zumal sich die Adresse der Beschwerdeführerin, die bei allen Briefsendungen verwendet wurde, als richtig und funktionsfähig herausgestellt hat  der an ihre Adresse gerichtete, mit eingeschriebener Post versandte Strafbefehl und der Entscheid der ersten Instanz erreichten sie offensichtlich. Auch die Übertretungsanzeige und die Zahlungserinnerung wurden nicht als unzustellbar retourniert.</w:t>
      </w:r>
    </w:p>
    <w:p>
      <w:r>
        <w:t>Aufgrund dieser Umstände ist auszuschliessen, dass weder die Übertretungsanzeige noch die Zahlungserinnerung bei der Beschwerdeführerin angekommen sind, obwohl diese korrekt adressiert und zu unterschiedlichen Zeitpunkten versandt worden sind. Es ist davon auszugehen, dass die Beschwerdeführerin durch den Erhalt mindestens eines der beiden Schreiben hinreichend über die vorgeworfene Tat, die Busse und ihre Möglichkeiten, die Busse zu bezahlen oder den Vorwurf zu bestreiten, andernfalls das kostenpflichtige ordentliche Verfahren eingeleitet werde, in Kenntnis gesetzt worden ist.</w:t>
      </w:r>
    </w:p>
    <w:p>
      <w:r>
        <w:t>3.2Da die Beschwerdeführerin auf die Übertretungsanzeige und die Zahlungserinnerung nicht innert Frist reagierte, wurde das Verfahren von der Kantonspolizei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In casu kam bei den Verfahrenskosten der Mindestansatz zur Anwendung. Hinzu kamen Auslagen in der Höhe von CHF 8.60.</w:t>
      </w:r>
    </w:p>
    <w:p>
      <w:r>
        <w:rPr>
          <w:b/>
        </w:rPr>
        <w:t>E. 4</w:t>
      </w:r>
    </w:p>
    <w:p>
      <w:r>
        <w:t>Aus dem Dargelegten ergibt sich, dass die Beschwerde abzuweisen ist. Bei diesem Ausgang des Verfahrens hat die Beschwerdeführerin gemäss Art. 428 Abs. 1 StPO dessen Kosten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