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BES.2016.138 vom 9. Dezember 2016</w:t>
      </w:r>
    </w:p>
    <w:p>
      <w:r>
        <w:t>BS Appellationsgericht, 2016-12-09, DE</w:t>
      </w:r>
    </w:p>
    <w:p>
      <w:r>
        <w:rPr>
          <w:b/>
        </w:rPr>
        <w:t xml:space="preserve">Quelle: </w:t>
      </w:r>
      <w:r>
        <w:t>https://mcp.opencaselaw.ch/entscheid/bs_appellationsgericht_BES.2016.138</w:t>
      </w:r>
    </w:p>
    <w:p>
      <w:r>
        <w:t>FR: BS_APPELLATIONSGERICHT BES.2016.138 du 9 décembre 2016</w:t>
      </w:r>
    </w:p>
    <w:p>
      <w:r>
        <w:t>IT: BS_APPELLATIONSGERICHT BES.2016.138 del 9 dicembre 2016</w:t>
      </w:r>
    </w:p>
    <w:p>
      <w:pPr>
        <w:pStyle w:val="Heading2"/>
      </w:pPr>
      <w:r>
        <w:t>Erwägungen</w:t>
      </w:r>
    </w:p>
    <w:p>
      <w:r>
        <w:rPr>
          <w:b/>
        </w:rPr>
        <w:t>E. 1</w:t>
      </w:r>
    </w:p>
    <w:p>
      <w:r>
        <w:t>StPO). Die Beschwerde ist form- und fristgerecht eingereicht worden (Art. 396 Abs. 1 StPO), so dass darauf einzutreten ist. Zuständiges Beschwerdegericht ist das Appellationsgericht als Einzelgericht (§ 88 Abs. 1 in Verbindung mit § 93 Abs. 1 Ziff. 1 des Gerichtsorganisationsgesetzes [GOG, SG 154.100]), welches nach Art. 393 Abs. 2 StPO mit freier Kognition urteilt.</w:t>
      </w:r>
    </w:p>
    <w:p>
      <w:r>
        <w:rPr>
          <w:b/>
        </w:rPr>
        <w:t>E. 2</w:t>
      </w:r>
    </w:p>
    <w:p>
      <w:r>
        <w:t>2.1Der Strafbefehl vom 4. August 2014, mit dem die Beschwerdeführerin der üblen Nachrede und der mehrfachen Beschimpfung schuldig erklärt wurde, wurde dem Beschwerdegegner am 6. August 2014 zugestellt (Akten S. 629). Es ist daher davon auszugehen, dass er auch der Beschwerdeführerin an jenem oder spätestens an einem der folgenden Tage zugestellt worden ist. Der Beschwerdegegner hat mit Eingabe vom 18. August 2014 insoweit Einsprache dagegen erhoben hat, als die von ihm geltend gemachte Parteientschädigung im Betrag von CHF 4075.60 auf den Zivilweg verwiesen worden ist (Ziff. 5 des Strafbefehls, Akten S. 617; Einsprache Akten S. 620). Demgegenüber findet sich in den Strafbefehlsakten (S. 575 ff.) keine Einsprache der Beschwerdeführerin gegen den Strafbefehl. Der Vertreter der Beschwerdeführerin hat denn auch wiederholt festgehalten, dass diese dem Rechtsfrieden zuliebe keine Einsprache erhoben habe (Schreiben vom 17. August 2015 [Akten S. 83] und vom 31. März 2016 [Akten S. 795]), was von ihr nicht widersprochen worden ist. Auch in der Beschwerde und der Replik wurde nicht geltend gemacht, dass die Beschwerdeführerin ihrerseits Einsprache erhoben habe. Hingegen hat die Beschwerdeführerin in ihrer Eingabe vom 1. April 2016 ausgeführt, sie habe sehr wohl Einsprache gegen den Strafbefehl erhoben, wobei sie ihrer Eingabe zwei Schreiben vom 28. und 29. August 2014 an den Staatsanwalt beigelegt hat (Akten S. 815 und 817). Tatsächlich finden sich diese Schreiben auch in den Akten, allerdings nicht im Zusammenhang mit dem Strafbefehl und dem entsprechenden Einspracheverfahren (Akten S. 575 ff.), sondern im Zusammenhang mit dem Beschwerdeverfahren gegen die Einstellung des Verfahrens wegen versuchte Erpressung und Ehrverletzung. Die beiden Schreiben waren Staatsanwalt [...] am 9. September 2014 per Fax zugestellt und von diesem  zusammen mit diversen anderen Faxeingaben, welche die Beschwerdeführerin während des hängigen Beschwerdeverfahrens an die Staatsanwaltschaft richtete  an das Appellationsgericht weitergeleitet worden (Akten S. 306, vgl. Schreiben des Staatsanwalts an die Beschwerdeführerin S. 313). Dabei ist offensichtlich unterlassen worden, die Eingabe auch den Akten des Strafbefehls- resp. Einspracheverfahrens beizufügen. Es ist zwar festzustellen, dass die Einsprache der Beschwerdeführerin einerseits nicht innert der gesetzlichen Frist von 10 Tagen (Art. 354 Abs. 1 StPO) und andererseits als blosse Faxeingabe formungültig erfolgt ist (vgl. AGE BES.2015.97 vom 5. Oktober 2015 E. 2.2; BGer 1F_31/2012 vom 6. Dezember 2012 E. 2), so dass ohnehin nicht darauf einzutreten gewesen wäre. Dennoch hätte die Staatsanwaltschaft  wenn sie am Strafbefehl festhalten wollte  die Schreiben wie die Einsprache des Beschwerdegegners an das Strafgericht zum formellen Entscheid über die Gültigkeit der Einsprache weiterleiten müssen, da dieser Entscheid dem erstinstanzlichen Gericht obliegt (Art. 356 Abs. 2 StPO).</w:t>
      </w:r>
    </w:p>
    <w:p>
      <w:r>
        <w:t>2.2Die Strafgerichtspräsidentin hat das Schreiben des Vertreters der Beschwerdeführerin vom 31. März 2016 als sinngemäss gestelltes Wiederherstellungsgesuch interpretiert, worauf sie in ihrer Verfügung vom 1. April 2016 hingewiesen und das sie mit Verfügung vom 20. Juli 2016 abgewiesen hat. Die Beschwerdeführerin hat dem nicht widersprochen. Nach Dafürhalten des Appellationsgerichts kann im Schreiben vom 31. März 2016 indessen kein Gesuch um Wiederherstellung der Frist erkannt werden. Das spielt jedoch im Ergebnis keine Rolle, da die Vorinstanz gar nicht auf das Gesuch eingetreten ist. Ihrer Erwägung, dass das Gesuch zu spät gestellt worden sei, ist  sofern es überhaupt gestellt worden ist  beizupflichten. Darüber hinaus hätte ein solches Gesuch ohnehin nicht beim Einzelgericht in Strafsachen, sondern bei der Staatsanwaltschaft eingereicht werden müssen, der Behörde, bei der auch die versäumte Verfahrenshandlung (die Einsprache) vorzunehmen gewesen wäre (Art. 94 Abs. 2 StPO). Ergänzend sei darauf hingewiesen, dass ein Wiederherstellungsgesuch, sofern ein solches rechtsgültig gestellt worden wäre, hätte abgewiesen werden müssen, da die Verspätung und Formungültigkeit der am 28. August 2014 mit Faxeingabe vom 9. September 2014 erhobenen Einsprache bei dem hierbei anzuwendenden strengen Massstab nicht als entschuldbar gelten könnte (vgl. AGE BES.2016.153 vom 14. November 2016 E. 1.7;Riedo, in: Basler Kommentar StPO, 2. Auflage 2014, Art. 94 N 32 ff.).</w:t>
      </w:r>
    </w:p>
    <w:p>
      <w:r>
        <w:t>2.3Die Beschwerdeführerin ist der Auffassung, dass die Staatsanwaltschaft den Strafbefehl vom 4. August 2014 mit einer neuen Einsprachefrist nochmals hätte eröffnen müssen, nachdem sie aufgrund der Rückweisung des eingestellten Verfahrens durch das Appellationsgericht auch in dem mit dem Strafbefehl erledigten Verfahrenskomplex weitere Beweisaufnahmen durchgeführt habe. Darin kann ihr nicht gefolgt werden. Es war zwar vollkommen unnötig, dass die Staatsanwaltschaft  notabene auch aufgrund von Beweisanträgen der Beschwerdeführerin (Akten S. 356)  nicht nur im Verfahrenskomplex, in welchem der vom Appellationsgericht aufgehobene Einstellungsbeschluss ergangen war, sondern auch im mit Strafbefehl beurteilten und nicht Thema des Beschwerdeverfahrens bildenden Verfahrenskomplex [...], in dem das Einspracheverfahren sistiert worden war, neue Beweisaufnahmen durchgeführt hat. Nachdem diese Beweisaufnahmen aber zu keinem andern Ergebnis geführt haben als die früheren Beweiserhebungen, gab es keinen Grund, auf den Strafbefehl vom 4. August 2014 zurückzukommen oder diesbezüglich eine neue Einsprachefrist zu gewähren.</w:t>
      </w:r>
    </w:p>
    <w:p>
      <w:r>
        <w:rPr>
          <w:b/>
        </w:rPr>
        <w:t>E. 2.4</w:t>
      </w:r>
    </w:p>
    <w:p>
      <w:r>
        <w:t>2.4.1Die Beschwerdeführerin macht geltend, ein Strafbefehl könne nicht in Teilrechtskraft erwachsen. Da der Beschwerdegegner gegen den Strafbefehl vom 4. August 2014 gültig Einsprache erhoben habe und das entsprechende Einspracheverfahren noch nicht zum Abschluss gebracht worden sei, sei der Strafbefehl auch bezüglich des nicht angefochtenen Schuld- und Strafpunkts nicht in Rechtskraft erwachsen. Die Strafverfolgungsverjährung trete bei Ehrverletzungsdelikten gemäss Art. 178 Abs. 1 des Strafgesetzbuches (StGB, SR 311.0) in vier Jahren ein. Da seit den mit dem Strafbefehl inkriminierten Delikten bereits mehr als vier Jahr vergangen seien (die Strafanzeige stamme vom 20. Juni 2012), seien diese verjährt, so dass das entsprechende Verfahren einzustellen sei.</w:t>
      </w:r>
    </w:p>
    <w:p>
      <w:r>
        <w:t>2.4.2Zur Begründung dieser Auffassung wird in der Beschwerde ausgeführt, eine Einsprache hemme die Wirksamkeit des gesamten Strafbefehls. Eine Teilrechtskraft sei in den Bestimmungen von Art. 354-356 StGB nicht geregelt. Auch eine partielle Einsprache entfalte keine partielle Wirkung, da eine Teilrechtskraft nur bei ordentlichen Rechtsmitteln in Frage komme und die Einsprache kein Rechtsmittel, sondern ein Rechtsbehelf sei. Aus den von in der Beschwerde als Beleg angegebenen Literaturstellen ergibt sich die Richtigkeit dieser Auffassung indessen nicht. Zwar schreibtRiklin(in: StPO Kommentar, Orell Füssli Verlag, Zürich 2010, Art. 354 N 2; ebenso in: Basler Kommentar StPO, 2. Auflage 2014, Art. 354 N 2) tatsächlich, eine partielle Einsprache entfalte keine partielle Wirkung. Er bezieht dies jedoch auf die Einsprache gegen bloss einzelne von mehreren Schuldsprüchen. Hingegen fügt er im Basler Kommentar (a.a.O.) ausdrücklich hinzu, eine Ausnahme von der Unwirksamkeit einer partiellen Einsprache gelte gemäss Art. 356 Abs. 6 StPO für den Fall einer Einsprache über die Kosten und Entschädigungen oder weitere Nebenfolgen. In einem solchen Fall werde der unangefochtene Rest des Strafbefehls, namentlich der Schuldspruch und die ausgesprochene Sanktion, zum Urteil. Diese Ansicht vertritt auchDaphinoff(Das Strafbefehlsverfahren in der Schweizerischen Strafprozessordnung, Zürich 2012, S. 689, mit Verweis auf weitere Autoren). Etwas anderes ergibt sich auch nicht aus den übrigen Argumenten der Beschwerdeführerin. Dass eine Teilrechtskraft nur bei Rechtsmitteln, nicht aber bei Rechtsbehelfen wie der Einsprache zur Anwendung kommen könne, ergibt sich aus Art. 437 Abs. 1 StPO nicht. Zwar spricht dieser Artikel von Rechtsmitteln nach diesem Gesetz und führtSprengeran der von der Beschwerdeführerin zitierten Stelle im Basler Kommentar StPO (2. Auflage 2014, Art. 437 N 29) dementsprechend aus, Teilrechtskraft liege vor, wenn ein Urteil nur teilweise mit einem Rechtsmittel angefochten werde (der nicht angefochtene Teil des Urteils erwachse diesfalls in Rechtskraft). Aus den AusführungenSprengersin N 16 zu Art. 437 StPO (a.a.O.) ergibt sich jedoch, dass mit Rechtsmittel im Sinne von Art. 437 Abs. 1 StPO über den Wortlaut hinaus nicht nur die Berufung und die Beschwerde, sondern auch die Einsprache gemeint ist. Daraus folgt, dass auch nach AnsichtSprengersTeilrechtskraft auch bei Strafbefehlen möglich ist. Schliesslich trifft es zwar zu, dass die Bestimmungen der Strafprozessordnung über die Einsprache gegen einen Strafbefehl nicht ausdrücklich eine Teilrechtskraft vorsehen. Das bedeutet jedoch nicht, dass es keine Teilrechtskraft des Strafbefehls gibt. Auch die Bestimmungen über die Berufung sehen nicht ausdrücklich eine Teilrechtskraft vor (Art. 398 ff. StPO). Die Strafprozessordnung enthält überhaupt keine ausdrücklichen Bestimmungen zur Teilrechtskraft (Sprenger, a.a.O., Art. 437 N 31). Dennoch ist mittlerweile allgemein anerkannt, dass, wenn mit der Berufungserklärung nur Teile des Urteils angefochten werden, die nicht angefochtenen Punkte in Teilrechtskraft erwachsen (vgl. z.B. BGer 6B_428/2013 vom 15. April 2014 E. 3.3).</w:t>
      </w:r>
    </w:p>
    <w:p>
      <w:r>
        <w:t>Es ist somit mit der Vorinstanz festzuhalten, dass ein Strafbefehl bezüglich Schuldspruch und Sanktion in Rechtskraft erwächst, wenn sich die Einsprache nur auf die Kosten und Entschädigungen oder weitere Nebenfolgen bezieht. Die Rechtskraft tritt rückwirkend auf den Tag ein, an dem der Entscheid gefällt worden ist (Art. 437 Abs. 2 StPO).</w:t>
      </w:r>
    </w:p>
    <w:p>
      <w:r>
        <w:t>2.5Gegen den Strafbefehl vom 4. August 2014 hat  wie ausgeführt  nur der Beschwerdegegner gültig Einsprache erhoben, und er hat diese ausdrücklich auf den in Ziff. 5 des Strafbefehls enthaltenen Entscheid über seine Parteientschädigung beschränkt (Akten S. 582). Damit ist nach dem Gesagten der Strafbefehl in Bezug auf den Schuld- und Strafpunkt am 4. August 2014 in Rechtskraft erwachsen. Daraus folgt, dass die entsprechenden Delikte entgegen der Auffassung der Beschwerdeführerin nicht verjährt sind.</w:t>
      </w:r>
    </w:p>
    <w:p>
      <w:r>
        <w:rPr>
          <w:b/>
        </w:rPr>
        <w:t>E. 3</w:t>
      </w:r>
    </w:p>
    <w:p>
      <w:r>
        <w:t>3.1Die angefochtene Verfügung vom 20. Juli 2016, mit der das Einzelgericht in Strafsachen auf das Gesuch um Wiederherstellung der Einsprachefrist nicht eingetreten ist und festgestellt hat, dass der Strafbefehl vom 4. August 2014 in Rechtskraft erwachsen und die darin beurteilten Delikte nicht verjährt sind, hat somit kein Bundesrecht verletzt. Die Beschwerde ist daher abzuweisen.</w:t>
      </w:r>
    </w:p>
    <w:p>
      <w:r>
        <w:t>3.2Bei diesem Ausgang des Beschwerdeverfahrens wären dessen Kosten an sich der unterliegenden Beschwerdeführerin aufzuerlegen (Art. 428 Abs. 1 StPO). Davon ist jedoch im vorliegenden Fall abzuweichen, da sowohl die Staatsanwaltschaft als auch die Vorinstanz mit diversen widersprüchlichen und unklaren Verfügungen und Verfahrenshandlungen zur Verwirrung darüber beigetragen haben, welcher Tatkomplex in welchem Verfahrensstadium noch hängig war. So hat die Staatsanwaltschaft einerseits die (verspätet und formungültig) erhobene Einsprache der Beschwerdeführerin gegen den Strafbefehl nicht an das Strafgericht weitergeleitet und andererseits das Einspracheverfahren betreffend den vom Beschwerdegegner ausschliesslich im Entschädigungspunkt angefochtenen Strafbefehl unnötigerweise sistiert, nachdem der Beschwerdegegner gegen den Einstellungsbeschluss in einem andern Verfahrenskomplex Beschwerde erhoben hatte, obwohl nicht ersichtlich ist, wie der Entscheid des Appellationsgerichts betreffend die Einstellung den Entschädigungspunkt im Strafbefehl beeinflussen könnte. Darüber hinaus hat die Staatsanwaltschaft nach Aufhebung der Einstellungsverfügung durch das Appellationsgericht und Rückweisung der Sache zu weiteren Ermittlungen nicht nur in Bezug auf den das Beschwerdeverfahren betreffenden Tatkomplex, sondern auch in Bezug auf jenen Tatkomplex, der mit dem im Schuld- und Strafpunkt nicht angefochtenen Strafbefehl bereits rechtskräftig beurteilt worden war, weitere Beweise erhoben. Die Strafgerichtspräsidentin ihrerseits hat im Einspracheverfahren, welches nur die Frage der Parteientschädigung des Beschwerdegegners betraf und daher gemäss Art. 356 Abs. 6 StPO grundsätzlich im schriftlichen Verfahren abzuhandeln wäre, mit Verfügung vom 12. Januar 2016 die Ansetzung einer Verhandlung angekündigt und dabei die Beschwerdeführerin als Einsprecherin bezeichnet. Am 3. Februar 2016 hat sie zudem einen den  nicht rechtsgültig angefochtenen und damit rechtskräftigen  Strafpunkt betreffenden Beweisantrag der Beschwerdeführerin gutgeheissen und in ihrer entsprechenden Anweisung an die Staatsanwaltschaft um Eile gebeten, da die Strafverfolgungsverjährung drohe. Schliesslich hat am 1. April 2016, als sie die auf den 5. April vorgesehene Hauptverhandlung abgeboten hat, weil der Beschwerdegegner nicht auffindbar war, verfügt, dass dieser auf dem Publikationsweg zu einer neuen Verhandlung geladen werde, obwohl er nie ausdrücklich eine Verhandlung verlangt hatte (vgl. Art. 356 Abs. 6 StPO).</w:t>
      </w:r>
    </w:p>
    <w:p>
      <w:r>
        <w:t>Es sind daher für das Beschwerdeverfahrens keine Kosten zu erheben und der Beschwerdeführerin ist für dieses Verfahren eine angemessene Parteientschädigung aus der Gerichtskasse auszurichten. Mangels Einreichung einer Kostennote ist der diesbezügliche Aufwand des Vertreters der Beschwerdeführerin zu schätzen. Ausgehend von der Komplexität des Verfahrens und dem Umfang der eingereichten Rechtsschriften erscheint eine Parteientschädigung von pauschal CHF 2500. (entsprechend einem Zeitaufwand von rund 10 Stunden zu CHF 250.), einschliesslich Auslagen, zuzüglich 8 % MWST, angemessen.</w:t>
      </w:r>
    </w:p>
    <w:p>
      <w:r>
        <w:t>3.3Der Klarheit halber ist festzuhalten, dass sich das noch hängige Einspracheverfahren vor Strafgericht auf den vom Beschwerdegegner angefochtenen Punkt der Parteientschädigung beschränkt, da der Strafbefehl vom 4. August 2014 im Schuld- und Strafpunkt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