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BES.2016.134 vom 15. August 2016</w:t>
      </w:r>
    </w:p>
    <w:p>
      <w:r>
        <w:t>BS Appellationsgericht, 2016-08-15, DE</w:t>
      </w:r>
    </w:p>
    <w:p>
      <w:r>
        <w:rPr>
          <w:b/>
        </w:rPr>
        <w:t xml:space="preserve">Quelle: </w:t>
      </w:r>
      <w:r>
        <w:t>https://mcp.opencaselaw.ch/entscheid/bs_appellationsgericht_BES.2016.134</w:t>
      </w:r>
    </w:p>
    <w:p>
      <w:r>
        <w:t>FR: BS_APPELLATIONSGERICHT BES.2016.134 du 15 août 2016</w:t>
      </w:r>
    </w:p>
    <w:p>
      <w:r>
        <w:t>IT: BS_APPELLATIONSGERICHT BES.2016.134 del 15 agosto 2016</w:t>
      </w:r>
    </w:p>
    <w:p>
      <w:pPr>
        <w:pStyle w:val="Heading2"/>
      </w:pPr>
      <w:r>
        <w:t>Erwägungen</w:t>
      </w:r>
    </w:p>
    <w:p>
      <w:r>
        <w:rPr>
          <w:b/>
        </w:rPr>
        <w:t>E. 1</w:t>
      </w:r>
    </w:p>
    <w:p>
      <w:r>
        <w:t>1.1Die Verfügung des Einzelgerichts in Strafsachen vom 8. Juli 2016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 Der Beschwerdeführer hat ein rechtlich geschütztes Interesse an der Aufhebung des angefochtenen Entscheids und ist somit zur Beschwerde legitimiert (Art. 382 Abs. 1 StPO). Die Kognition des Beschwerdegerichts ist frei und nicht auf Willkür beschränkt (Art. 393 Abs. 2 StPO).</w:t>
      </w:r>
    </w:p>
    <w:p>
      <w:r>
        <w:t>1.2Beschwerden müssen gemäss Art. 396 Abs. 1 StPO innert zehn Tagen seit Eröffnung des Entscheids oder der Verfügung schriftlich und begründet bei der Beschwerdeinstanz eingereicht werden. Darauf ist der Beschwerdeführer in der Rechtsmittelbelehrung des angefochtenen Entscheids hingewiesen worden. Die Frist beginnt am Tag nach der Eröffnung respektive Zustellung zu laufen (Art. 90 Abs. 1 StPO) und ist eingehalten, wenn die Beschwerde spätestens am letzten Tag der Frist bei der zuständigen Behörde abgegeben oder zu deren Handen der Schweizerischen Post übergeben wird (Art. 91 Abs. 2 StPO). Die angefochtene Verfügung des Einzelgerichts in Strafsachen wurde dem Beschwerdeführer gemäss Sendungsinformation der Post (act. 4) am 12. Juli 2016 zugestellt. Die Beschwerdefrist begann daher am 13. Juli 2016 zu laufen und endete am 22. Juli 2016. Der Beschwerdeführer hat seine Beschwerde (Einsprache) jedoch erst am 25. Juli 2016 (Postaufgabe) eingereicht. Damit hat er die Beschwerdefrist nicht eingehalten, so dass auf die Beschwerde nicht eingetreten werden kann.</w:t>
      </w:r>
    </w:p>
    <w:p>
      <w:r>
        <w:t>1.3Ergänzend ist festzuhalten, dass die Eingabe des Beschwerdeführers vom 25. Juli 2016 weder Anträge noch eine Begründung enthalten, weshalb auf die Beschwerde ohnehin nicht einzutreten wäre. Schliesslich wäre die Beschwerde auch bei materieller Behandlung abzuweisen, da die Vorinstanz zufolge Verspätung zu Recht nicht auf die Einsprache gegen den Strafbefehl eingetreten ist.</w:t>
      </w:r>
    </w:p>
    <w:p>
      <w:r>
        <w:rPr>
          <w:b/>
        </w:rPr>
        <w:t>E. 2</w:t>
      </w:r>
    </w:p>
    <w:p>
      <w:r>
        <w:t>Bei diesem Ausgang des Beschwerdeverfahrens wären dessen Kosten vom Beschwerdeführer zu tragen (Art. 428 Abs. 1 StPO). Umständehalber ist indessen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