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BES.2016.106 vom 15. Juli 2016</w:t>
      </w:r>
    </w:p>
    <w:p>
      <w:r>
        <w:t>BS Appellationsgericht, 2016-07-15, DE</w:t>
      </w:r>
    </w:p>
    <w:p>
      <w:r>
        <w:rPr>
          <w:b/>
        </w:rPr>
        <w:t xml:space="preserve">Quelle: </w:t>
      </w:r>
      <w:r>
        <w:t>https://mcp.opencaselaw.ch/entscheid/bs_appellationsgericht_BES.2016.106</w:t>
      </w:r>
    </w:p>
    <w:p>
      <w:r>
        <w:t>FR: BS_APPELLATIONSGERICHT BES.2016.106 du 15 juillet 2016</w:t>
      </w:r>
    </w:p>
    <w:p>
      <w:r>
        <w:t>IT: BS_APPELLATIONSGERICHT BES.2016.106 del 15 luglio 2016</w:t>
      </w:r>
    </w:p>
    <w:p>
      <w:pPr>
        <w:pStyle w:val="Heading2"/>
      </w:pPr>
      <w:r>
        <w:t>Erwägungen</w:t>
      </w:r>
    </w:p>
    <w:p>
      <w:r>
        <w:rPr>
          <w:b/>
        </w:rPr>
        <w:t>E. 1</w:t>
      </w:r>
    </w:p>
    <w:p>
      <w:r>
        <w:t>1.1Die Verfügung des Einzelgerichts in Strafsachen vom 30. Mai 2016, mit welcher auf die Einsprache der Beschwerdeführerin nicht eingetreten wurde, ist eine beschwerdefähige Verfügung eines erstinstanzlichen Gerichts im Sinne von Art. 393 Abs. 1 lit. b der Schweizerischen Strafprozessordnung (StPO, SR 312.0). Es handelt sich um einen Nichteintretensentscheid, mit dem nicht materiell über Straffragen befunden wird. Es kommt daher gemäss Art. 393 Abs. 1 lit. b in Verbindung mit Art. 80 Abs. 1 StPO das Beschwerdeverfahren zur Anwendung. Zuständiges Beschwerdegericht ist das Appellationsgericht als Einzelgericht (§ 88 Abs. 1 in Verbindung mit § 93 Abs. 1 Ziff. 1 Gerichtsorganisationsgesetz [GOG, SG 154.100]). Die Beschwerdeführerin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gegen mündlich oder schriftlich eröffnete Entscheide ist innert zehn Tagen schriftlich sowie begründet bei der Beschwerdeinstanz einzureichen (Art. 396 Abs. 1 StPO). Die Verfügung des Einzelgerichts in Strafsachen vom 30. Mai 2016 wurde der Beschwerdeführerin am 3. Juni 2016 zugestellt. Mit der Eingabe vom 13. Juni 2016 ist die Beschwerde rechtzeitig erfolgt, weshalb darauf einzutreten ist.</w:t>
      </w:r>
    </w:p>
    <w:p>
      <w:r>
        <w:rPr>
          <w:b/>
        </w:rPr>
        <w:t>E. 2</w:t>
      </w:r>
    </w:p>
    <w:p>
      <w:r>
        <w:t>2.1Das Strafgericht Basel-Stadt hat in der Verfügung vom 30. Mai 2016 entschieden, dass der der Beschwerdeführerin am 6. Februar 2015 zur Abholung gemeldete Strafbefehl als am 13. Februar 2015 zugestellt gelte, die Frist am nächsten Tag zu laufen begonnen habe und am 23. Februar 2015 abgelaufen sei, weshalb auf die vom 14. Oktober 2015 datierende Einsprache zufolge Verspätung nicht eingetreten werden könne. Es hat erwogen, dass aus der Beschwerde ans Bundesgericht betreffend Wiederherstellung der Frist hervorgehe, dass die Steuer- wie auch die Migrationsbehörde Briefe an die Beschwerdeführerin mit [...] oder [...] adressieren würden. Abklärungen der Staatsanwaltschaft beim Einwohnerdienst der Wohngemeinde der Beschwerdeführerin hätten zudem ergeben, dass diese auf den Namen [...] registriert sei. Damit decke sich, dass die Beschwerdeführerin im vorliegenden Verfahren wiederholt mit [...] unterschrieben habe; dies nicht zuletzt auch auf der Vollmacht an den Verteidiger, wo sie als Frau [...]" bezeichnet werde. Selbst wenn der Strafbefehl vom</w:t>
      </w:r>
    </w:p>
    <w:p>
      <w:r>
        <w:rPr>
          <w:b/>
        </w:rPr>
        <w:t>E. 4</w:t>
      </w:r>
    </w:p>
    <w:p>
      <w:r>
        <w:t>4.1Die Einsprachefrist gemäss Art. 354 Abs. 1 StPO beträgt zehn Tage ab Zustellung des Strafbefehls. Fristen, die durch Mitteilung oder den Eintritt eines Ereignisses ausgelöst werden, beginnen am folgenden Tag zu laufen (Art. 90 Abs. 1 StPO). Gemäss Art. 85 Abs. 2 StPO erfolgen Zustellungen der Strafbehörden durch eingeschriebene Postsendungen oder auf andere Weise gegen Empfangsbestätigung. Nach Art. 85 Abs. 4 lit. a StPO gilt eine eingeschriebene Postsendung, die nicht abgeholt worden ist, am siebten Tag nach dem erfolglosen Zustellversuch als zugestellt, sofern die Adressatin mit einer Zustellung rechnen musste. Dies ist der Fall, wenn die Adressatin Kenntnis eines gegen sie geführten Strafverfahrens hat. Das Gebot von Treu und Glauben gebietet es, dass Verfahrensbeteiligte dafür Sorge tragen, dass ihnen behördliche Sendungen zugestellt werden können. Lediglich bei lang andauernder Untätigkeit der Behörde kann dies nicht weiter verlangt werden; diesfalls hat eine Abwägung der Interessen zu erfolgen (ARQUINTSararard, in: Basler Kommentar, 2. Auflage 2014, Art. 85 StPO N 9).</w:t>
      </w:r>
    </w:p>
    <w:p>
      <w:r>
        <w:t>4.2Bei eingeschriebenen Postsendungen gilt eine widerlegbare Vermutung, dass der oder die Postangestellte den Avis ordnungsgemäss in den Briefkasten oder in das Postfach des Empfängers gelegt hat und das Zustellungsdatum korrekt registriert worden ist. Diese Vermutung gilt so lange, als der Empfänger nicht den Nachweis einer überwiegenden Wahrscheinlichkeit von Fehlern bei der Zustellung erbringt. Die immer bestehende Möglichkeit von Fehlern bei der Post genügt nicht, um die Vermutung zu widerlegen. Vielmehr müssen konkrete Anzeichen für Fehler vorhanden sein (vgl. Urteil des Bundesgerichts 6B_175/2016 vom 2. Mai 2016 E. 2.3).</w:t>
      </w:r>
    </w:p>
    <w:p>
      <w:r>
        <w:rPr>
          <w:b/>
        </w:rPr>
        <w:t>E. 5</w:t>
      </w:r>
    </w:p>
    <w:p>
      <w:r>
        <w:t>5.2Die Vermutung der korrekten Zustellung wird bestärkt durch die Tatsache, dass die Post den Briefumschlag des Strafbefehls mit dem Vermerk nicht abgeholt und nicht mit dem Vermerk unbekannt zurückgesandt hat (vgl. hierzu den Kommentar zum Urteil 6B_175/2016 vom 2. Mai 2016, in ius.focus 6/2016, S. 30, in welchem der Autor diesbezüglich zum selben Schluss gelangt). Die Behauptung der Beschwerdeführerin, ihr Briefkasten sei nur mit dem Namen [...] angeschrieben und sie habe den Strafbefehl nicht erhalten, dient unter diesen Umständen nicht als Nachweis einer überwiegenden Wahrscheinlichkeit, dass der Strafbefehl bzw. die Abholungseinladung nicht korrekt in ihren Briefkasten gelegt worden ist. Auch die Fotografie, welche dem Bundesgericht im Rahmen des Verfahrens betreffend die Wiederherstellung der Frist eingereicht worden ist, vermag die Vermutung der korrekten Zustellung nicht umzustossen, da diese erst später erstellt worden ist, als die bestrittene Zustellung sich ereignet hat. Das Namensschild kann inzwischen ohne weiteres ausgewechselt worden sein. Und selbst wenn, wie die Vorinstanz annimmt, der Name [...] bereits im Zeitpunkt der Zustellung nicht mehr auf dem Briefkastenschild gestanden wäre, erscheint ein Falscheinwurf aus Unsorgfalt wenig plausibel. Gerade wenn kein Schild mit dem fraglichen Namen angeschrieben ist, wird eine Abholungseinladung zu einer eingeschriebenen Sendung von der für die Briefverteilung zuständigen Person kaum einfach in einen beliebigen anderen Briefkasten eingeworfen. Auch für eine Verwechslung ergeben sich, wie das Strafgericht aufzeigt, keine Anhaltspunkte, da die anderen Schilder keine ähnlichen Namen aufweisen. Folglich kann davon ausgegangen werden, dass im Zeitpunkt der Zustellung entweder noch ein anderes Namensschild vorhanden war oder die für die Postverteilung zuständige Person wusste, dass [...] und [...] die Namen derselben Person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