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BES.2015.60 vom 11. Januar 2016</w:t>
      </w:r>
    </w:p>
    <w:p>
      <w:r>
        <w:t>BS Appellationsgericht, 2016-01-11, DE</w:t>
      </w:r>
    </w:p>
    <w:p>
      <w:r>
        <w:rPr>
          <w:b/>
        </w:rPr>
        <w:t xml:space="preserve">Quelle: </w:t>
      </w:r>
      <w:r>
        <w:t>https://mcp.opencaselaw.ch/entscheid/bs_appellationsgericht_BES.2015.60</w:t>
      </w:r>
    </w:p>
    <w:p>
      <w:r>
        <w:t>FR: BS_APPELLATIONSGERICHT BES.2015.60 du 11 janvier 2016</w:t>
      </w:r>
    </w:p>
    <w:p>
      <w:r>
        <w:t>IT: BS_APPELLATIONSGERICHT BES.2015.60 del 11 gennaio 2016</w:t>
      </w:r>
    </w:p>
    <w:p>
      <w:pPr>
        <w:pStyle w:val="Heading2"/>
      </w:pPr>
      <w:r>
        <w:t>Erwägungen</w:t>
      </w:r>
    </w:p>
    <w:p>
      <w:r>
        <w:rPr>
          <w:b/>
        </w:rPr>
        <w:t>E. 1</w:t>
      </w:r>
    </w:p>
    <w:p>
      <w:r>
        <w:t>BV für die Strafverfolgung in der StPO konkretisiert. Das von der Beschwerdeführerin angesprochene öffentliche Interesse etwa besteht in der Strafverfolgung, also der Durchsetzung des staatlichen Strafmonopols, und verbirgt sich hinter dem in Art. 197 Abs. 1 lit. b StPO erforderlichen hinreichenden Tatverdacht. Die Verhältnismässigkeit wird mit dem Erfordernis des mildesten Mittels (Art. 197 Abs. 1 lit. c StPO) konkretisiert, die Geeignetheit mit dem Erfordernis geeigneter Beweismittel (Art. 139 Abs. 1 StPO;Bommer/Goldschmid, in: Basler Kommentar, 2. Aufl. 2014, Vor Art. 263 - 268 StPO N  11) und bei der Beschlagnahme insbesondere mit den Erfordernissen des Deliktskonnexes und der Beweistauglichkeit. Auf diese Themen ist das Zwangsmassnahmengericht indessen und entgegen den Ausführungen der Beschwerdeführerin bereits eingegangen, sodass darüber im vorliegenden Beschwerdeverfahren nicht mehr zu befinden ist. Insbesondere hat es unter Verweis auf die bundesgerichtliche Rechtsprechung auch ausgeführt, dass es bei den vorliegenden, umfangreichen Datenmengen der Beschwerdeführerin obläge, substanziiert jene Dokumente zu bezeichnen, welche Geheimhaltungsinteressen betreffen könnten; indessen beschränke sich die Beschwerdeführerin auf pauschale Verweise.</w:t>
      </w:r>
    </w:p>
    <w:p>
      <w:r>
        <w:t>1.2.6Pauschal sind die Ausführungen der Beschwerdeführerin auch im vorliegenden Beschwerdeverfahren. Sie substanziiert nicht, inwiefern und allenfalls weshalb es ihr im Kern um etwas anderes ginge als um die zentrale Thematik vor dem Zwangsmassnahmengericht, nämlich darum, die Einsichtnahme der Staatsanwaltschaft in die sichergestellten Unterlagen und deren Verwertung zu verhindern. Die Beschwerdeführerin beklagt einen schweren Eingriff in die Eigentumsgarantie, ohne auch nur zu behaupten, dass sie die 45 Ordner zu den drei längst abgeschlossenen Bauprojekten derzeit benötigen würde. Abgesehen davon, dass es sich bei der Beschlagnahme in der Regel  und soweit ersichtlich auch vorliegend  um einen mittelschweren Grundrechtseingriff handelt (Bommer/Goldschmid, a.a.O.), scheint sie zu verkennen, dass mit der Beschlagnahme nicht über das endgültige Schicksal des beschlagnahmten Gutes entschieden wird. Hierüber wird erst im Sachurteil betreffend die Einziehung zu befinden sein, und bis dahin wird die Beschwerdeführerin bei der Staatsanwaltschaft Kopien erhältlich machen können, sollte sie aus dem Beschlagnahmegut irgendwelche Aktenstücke benötigen  an diesem Punkt waren die Parteien notabene, gleichsam mit umgekehrten Vorzeichen, bereits mit der Editionsverfügung der Staatsanwaltschaft vom 10. Februar 2015 angelangt, als diese die Beschwerdeführerin zur Herausgabe der fraglichen Akten aufforderte mit dem Hinweis, die Beschlagnahme könne durch die Herausgabe qualitativ gleichwertiger Kopien / Datenträger abgewendet werden. Erst als die Beschwerdeführerin anstelle der gesamten Akten oder Kopien respektive einem Datenträger davon bloss zwei Aktenstücke herausgab, schritt die Staatsanwaltschaft zur Beschlagnahme und nach Erhebung der vorliegenden Beschwerde zur Siegelung, welches Vorgehen  nebenbei bemerkt  dem Erfordernis des mildesten Eingriffs entspricht. Vor diesem Hintergrund ist der Kerngehalt der Eigentumsgarantie jedenfalls nicht berührt, was bei der Beschlagnahme ohnehin nur schwer vorstellbar ist (Bommer/Goldschmid, a.a.O.).</w:t>
      </w:r>
    </w:p>
    <w:p>
      <w:r>
        <w:t>1.2.7Wiederum in pauschaler Weise wirft die Beschwerdeführerin die Thematik überschiessender Editionsverfügungen auf, welche tatsächlich allenfalls Gegenstand der Beschwerde sein könnte, weil sie im Entsiegelungsverfahren nicht geprüft werden kann. Allein, eine derartige überschiessende Verfügung, wie sie die Literatur beispielshaft anführt  die etwa aktives Tätigwerden oder Beschaffung aus dem Ausland verlangen würde (Thomas Müller, a.a.O., S. 293)  liegt hier nicht vor, und solches wird denn auch nicht substanziiert geltend gemacht. Soweit die Beschwerdeführerin erneut darauf verweist, es hätten nicht sämtliche Akten beschlagnahmt werden sollen, sondern es hätte eine Aussonderung stattfinden müssen, ist wiederum auf das oben Gesagte zu verweisen: Auf diese Thematik war im Entsiegelungsverfahren im Rahmen der Prüfung der Verhältnismässigkeit einzugehen, und das Zwangsmassnahmengericht hat dieses Thema in seiner Verfügung tatsächlich auch vertieft. Weiter ist zu bemerken, dass die vorliegende Beschlagnahme auch nicht über den ihr eigenen, sichernden und vorsorglichen Charakter hinausgeht, wie es etwa bei der Zerstörung von Hanffeldern der Fall ist, welches Vorgehen irreversiblen Charakter hat und nach einem Verfahren gemäss Art. 377 StPO ruft (Schmid, StPO Praxiskommentar, 2. Aufl. 2013, Vor Art. 263 - 268 N 3).</w:t>
      </w:r>
    </w:p>
    <w:p>
      <w:r>
        <w:rPr>
          <w:b/>
        </w:rPr>
        <w:t>E. 1.3</w:t>
      </w:r>
    </w:p>
    <w:p>
      <w:r>
        <w:t>1.3.1Bis hierhin ergibt sich, dass die von der Beschwerdeführerin angeschnittenen Themen entweder nicht im vorliegenden Beschwerdeverfahren zu beurteilen sind, weil sie Gegenstand des Entsiegelungsverfahrens waren, oder bloss auf theoretischer Ebene erörtert werden, ohne konkreten, substanziierten Bezug zu den vorliegenden Gegebenheiten. Somit ist kein aktuelles Rechtsschutzinteresse der Beschwerdeführerin an der vorliegenden Beschwerde im Sinne von Art. 382 Abs. 1 StPO ersichtlich.</w:t>
      </w:r>
    </w:p>
    <w:p>
      <w:r>
        <w:t>1.3.2Hätte die Staatsanwaltschaft nicht im Verlauf des vorliegenden Beschwerdeverfahrens die Siegelung angeordnet, so wäre der Beschwerdeführerin das aktuelle Rechtschutzinteresse zuzugestehen gewesen. Weil also das schutzwürdige Interesse im Laufe des vorliegenden Beschwerdeverfahrens dahingefallen ist, ist die Sache als erledigt abzuschreiben; hätte es schon bei der Beschwerdeeinreichung gefehlt, so wäre darauf nicht einzutreten gewesen (BGE 137 I 23 E. 1.3.4).</w:t>
      </w:r>
    </w:p>
    <w:p>
      <w:r>
        <w:t>1.3.3Nach ständiger Rechtsprechung sowohl des Appellationsgerichts als auch des Bundesgerichts ist jedoch vom Erfordernis eines aktuellen praktischen Interesses dann abzusehen, wenn sich die mit der Beschwerde aufgeworfene Frage jederzeit und unter gleichen und ähnlichen Umständen wieder stellen könnte, an ihrer Beantwortung wegen ihrer grundsätzlichen Bedeutung ein hinreichendes öffentliches Interesse besteht und eine rechtzeitige (bundes-)gerichtliche Prüfung im Einzelfall kaum je möglich wäre (BES.2012.131 vom 8. Januar 2013; BGE 135 I 79 E. 1.1 S. 81; BGer 1B_326/2010 vom 23. März 2011 E. 3.2). Es wird vorliegend nicht geltend gemacht und ist auch nicht ersichtlich, inwiefern sich eine solche grundsätzliche und über das bereits Gesagte hinausgehende Frage stellen würde, die eine weitergehende Prüfung der Beschwerde geböte. Unter diesem Aspekt ist auf die Beschwerde nicht einzutreten.</w:t>
      </w:r>
    </w:p>
    <w:p>
      <w:r>
        <w:rPr>
          <w:b/>
        </w:rPr>
        <w:t>E. 2</w:t>
      </w:r>
    </w:p>
    <w:p>
      <w:r>
        <w:t>Aufl. 2014, Art. 428 StPO N 14). Das Zwangsmassnahmengericht hat die bei einem allfälligen Eintreten auf die vorliegende Beschwerde sich tatsächlich stellenden, materiellen Fragen bereits beantwortet; auf die nachvollziehbare und schlüssige Begründung des Zwangsmassnahmengerichts kann für die Prognose des Prozessausgangs im vorliegenden Verfahren abgestellt werden. Dort hat ein für die Beschwerdeführerin negativer Entscheid resultiert, was als Prognose auch für das vorliegende Beschwerdeverfahren anzunehmen ist. Es wäre der anwaltlich vertretenen Beschwerdeführerin unbenommen gewesen, die Beschwerde nach Abschluss des Entsiegelungsverfahrens zurückzuziehen. Damit hat die Beschwerdeführerin die Kosten auch insoweit zu tragen, als die Beschwerde als gegenstandslos abgeschrieben wird. Dem Beschwerdegegner 2 sind keine 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