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BES.2015.48 vom 10. März 2015</w:t>
      </w:r>
    </w:p>
    <w:p>
      <w:r>
        <w:t>BS Appellationsgericht, 2015-03-10, DE</w:t>
      </w:r>
    </w:p>
    <w:p>
      <w:r>
        <w:rPr>
          <w:b/>
        </w:rPr>
        <w:t xml:space="preserve">Quelle: </w:t>
      </w:r>
      <w:r>
        <w:t>https://mcp.opencaselaw.ch/entscheid/bs_appellationsgericht_BES.2015.48</w:t>
      </w:r>
    </w:p>
    <w:p>
      <w:r>
        <w:t>FR: BS_APPELLATIONSGERICHT BES.2015.48 du 10 mars 2015</w:t>
      </w:r>
    </w:p>
    <w:p>
      <w:r>
        <w:t>IT: BS_APPELLATIONSGERICHT BES.2015.48 del 10 marzo 2015</w:t>
      </w:r>
    </w:p>
    <w:p>
      <w:pPr>
        <w:pStyle w:val="Heading2"/>
      </w:pPr>
      <w:r>
        <w:t>Erwägungen</w:t>
      </w:r>
    </w:p>
    <w:p>
      <w:r>
        <w:rPr>
          <w:b/>
        </w:rPr>
        <w:t>E. 1</w:t>
      </w:r>
    </w:p>
    <w:p>
      <w:r>
        <w:t>Gemäss Art. 393 Abs. 1 lit. b in Verbindung mit Art. 20 Abs. 1 lit. a der Strafprozessordnung (StPO) unterliegen Verfügungen, Beschlüsse und Verfahrenshandlungen der erstinstanzlichen Gerichte der Beschwerde an die Beschwerdeinstanz. Der Ausschluss der Privatklägerschaft ist eine beschwerdefähige Verfügung (Guidon,in: Basler Kommentar zur Strafprozessordnung, 2. Auflage 2014, Art. 393 N 12; BGE 138 IV 193 E. 4 S. 195 f.). Auf die form- und fristgerecht eingereichte Beschwerde der von der Verfügung direkt betroffenen Beschwerdeführerin ist einzutreten, allerdings mit folgender Einschränkung: Nicht einzutreten ist auf die Beschwerde, soweit der Erlass einer Präsidialverfügung zur Akteneinsicht und zum Zutrittsrecht beantragt wird, zumal diesbezüglich gar kein abschlägiger Entscheid der Vorinstanz vorliegt.</w:t>
      </w:r>
    </w:p>
    <w:p>
      <w:r>
        <w:rPr>
          <w:b/>
        </w:rPr>
        <w:t>E. 2</w:t>
      </w:r>
    </w:p>
    <w:p>
      <w:r>
        <w:t>Als Privatkläger gilt die geschädigte Person, die ausdrücklich erklärt hat, sich am Strafverfahren als Straf- oder Zivilkläger zu beteiligen (Art. 118 Abs. 1 StPO). Als geschädigte Person wiederum gilt die Person, die durch die Straftat in ihren Rechten unmittelbar verletzt worden ist (Art. 115 Abs. 1 StPO). Unmittelbar verletzt ist der Träger des durch die verletzte Strafnorm geschützten Rechtsguts (Mazzucchelli/Postizzi, in: Basler Kommentar zur Strafprozessordnung, 2. Auflage 2014, Art. 115 StPO N 21). Durch den Tatbestand der fahrlässigen Tötung wird das menschliche Leben als Rechtsgut geschützt.</w:t>
      </w:r>
    </w:p>
    <w:p>
      <w:r>
        <w:t>Bloss mittelbar verletzt und daher nicht Geschädigte im Sinne von Art. 115 Abs. 1 StPO sind Dritte, die durch die Straftat nur deshalb wirtschaftlich beeinträchtigt sind, weil sie in einer besonderen Beziehung zum Träger des verletzten Rechtsguts stehen (sogenannte Reflexgeschädigte) (Mazzucchelli/Postizzi, a.a.O., N 28, 43; AGE BES.2013.81 vom 14. Juli 2014 E. 3.1; BES.2012.113 vom 25. April 2013 E. 2.3). Genau eine solche Stellung kommt aber der Beschwerdeführerin zu. Dass sie  wie sie geltend macht  als Eigentümerin eines Binnenschiffs gemäss Art. 48 und 126 Abs. 2 des Seeschifffahrtsgesetzes bei Misslingen einer Exkulpation grundsätzlich für den Schaden hafte, den ein Mitglied der Schiffbesatzung, ein Lotse oder eine weitere an Bord des Schiffs tätige Person in Ausübung ihrer dienstlichen Verpflichtungen einem Dritten zugefügt hat, lässt sie als blosse Reflexgeschädigte erscheinen. Präzis betrachtet ist sie sogar nurpotentielleReflexgeschädigte, zumal gegen sie bislang offenbar keine Ansprüche erhoben worden sind. Dass die Beschwerdeführerin im Falle ihrer Haftung Regress auf die beschuldigten Personen nehmen könnte (Beschwerde S. 9), stellt wiederum eine nur indirekte und potentielle Betroffenheit dar. Nichts anderes lässt sich aus der von der Beschwerdeführerin angeführten Literaturstelle ableiten. Die aktuelle Auflage des angegebenen Werks folgt vielmehr klar der oben dargelegten Rechtsauffassung (Lieber,in: Donatsch et al, Kommentar zur Schweizerischen Strafprozessordnung, 2. Auflage 2014, Art. 115 StPO N 4).</w:t>
      </w:r>
    </w:p>
    <w:p>
      <w:r>
        <w:t>Nach dem Gesagten ist die Verfügung der Strafgerichtspräsidentin nicht zu beanstanden. Dies gilt ungeachtet dessen, dass die Staatsanwaltschaft der Beschwerdeführerin zuvor die Stellung als Privatklägerin zuerkannt hatte. Die Beschwerdeführerin beruft sich im Übrigen nicht auf den Vertrauensschutz, weshalb Erwägungen dazu unterbleiben können.</w:t>
      </w:r>
    </w:p>
    <w:p>
      <w:r>
        <w:rPr>
          <w:b/>
        </w:rPr>
        <w:t>E. 3</w:t>
      </w:r>
    </w:p>
    <w:p>
      <w:r>
        <w:t>Bei diesem Ausgang des Verfahrens trägt die Beschwerdeführerin dessen Kosten (Art. 428 Abs. 1 StPO). Die Gebühr ist auf CHF 500.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