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BES.2015.160 vom 7. März 2016</w:t>
      </w:r>
    </w:p>
    <w:p>
      <w:r>
        <w:t>BS Appellationsgericht, 2016-03-07, DE</w:t>
      </w:r>
    </w:p>
    <w:p>
      <w:r>
        <w:rPr>
          <w:b/>
        </w:rPr>
        <w:t xml:space="preserve">Quelle: </w:t>
      </w:r>
      <w:r>
        <w:t>https://mcp.opencaselaw.ch/entscheid/bs_appellationsgericht_BES.2015.160</w:t>
      </w:r>
    </w:p>
    <w:p>
      <w:r>
        <w:t>FR: BS_APPELLATIONSGERICHT BES.2015.160 du 7 mars 2016</w:t>
      </w:r>
    </w:p>
    <w:p>
      <w:r>
        <w:t>IT: BS_APPELLATIONSGERICHT BES.2015.160 del 7 marzo 2016</w:t>
      </w:r>
    </w:p>
    <w:p>
      <w:pPr>
        <w:pStyle w:val="Heading2"/>
      </w:pPr>
      <w:r>
        <w:t>Erwägungen</w:t>
      </w:r>
    </w:p>
    <w:p>
      <w:r>
        <w:rPr>
          <w:b/>
        </w:rPr>
        <w:t>E. 1</w:t>
      </w:r>
    </w:p>
    <w:p>
      <w:r>
        <w:t>Gegen Einstellungsverfügungen der Staatsanwaltschaft steht den Parteien und anderen von der Verfügung betroffenen Verfahrensbeteiligten ein Beschwerderecht zu. Die Beschwerde ist innert 10 Tagen schriftlich und begründet an die Beschwerdeinstanz einzureichen (Art. 321 f. i.V.m. 393 der Strafprozessordnung [StPO, SR 312.0]).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[GOG; SG 154.100]). Die Beschwerde ist rechtzeitig erhoben und begründet worden. Der Beschwerdeführer ist als Geschädigter zur Beschwerde legitimiert (Art. 382 Abs. 1 StPO). Auf die rechtzeitig eingereichte und begründete Beschwerde ist einzutreten.</w:t>
      </w:r>
    </w:p>
    <w:p>
      <w:r>
        <w:rPr>
          <w:b/>
        </w:rPr>
        <w:t>E. 2</w:t>
      </w:r>
    </w:p>
    <w:p>
      <w:r>
        <w:t>2.1Es ist unbestritten, dass der Beschwerdegegner den Beschwerdeführer mit seinem Personenwagen angefahren und dieser als Folge der Kollision das linke Sprunggelenk beidseitig gebrochen hat. Die Staatsanwaltschaft hat das gegen den Beschwerdegegner wegen fahrlässiger Körperverletzung eingeleitete Strafverfahren mangels Nachweises einer pflichtwidrigen Unvorsichtigkeit eingestellt. Der Beschwerdeführer beanstandet dies und führt aus, der Beschwerdegegner habe nachweislich die auf der Strasse durch Pylonen errichtete Absperrung überfahren und ihn innerhalb des abgesperrten Bereichs angefahren.</w:t>
      </w:r>
    </w:p>
    <w:p>
      <w:r>
        <w:t>2.2Gemäss Art. 319 Abs. 1 lit. a StPO stellt die Staatsanwaltschaft ein Strafverfahren ein, wenn kein Tatverdacht erhärtet ist, der eine Anklage rechtfertigt. Bei der Beurteilung dieser Frage hat sich die Staatsanwaltschaft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StPO, 2. Auflage, Basel 2014, Art. 319 N 8; BGE 138 IV 86 E. 4.1 und 4.2 S. 90 f.). Praktisch bedeutet das, dass eine Anklageerhebung dort zu erfolgen hat, wo eine Verurteilung wahrscheinlicher ist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 statt vieler: AGE BES.2015.115 vom 11. Februar 2016 E. 2.1).</w:t>
      </w:r>
    </w:p>
    <w:p>
      <w:r>
        <w:t>2.3Im eingestellten Strafverfahren hat die Staatsanwaltschaft die Begehung eines Fahrlässigkeitsdelikts untersucht. Zu einer Verurteilung könnte es somit gemäss Art. 12 Abs. 2 des Strafgesetzbuches (StGB, SR 311.0) nur dann kommen, wenn dem Beschwerdegegner eine pflichtwidrige Unvorsichtigkeit nachzuweisen wäre, er also die Vorsicht nicht beachtet hat, zu der er nach den Umständen und nach seinen persönlichen Verhältnissen verpflichtet gewesen ist. Dazu ist festzuhalten, dass zur Unfallzeit ein Bereich der Strasse durch Warnkegel abgetrennt gewesen ist, sodass nur eine relativ enge Durchfahrt frei war. Es ist von keiner Seite je der Vorwurf erhoben worden, dass der Beschwerdegegner in dieser Situation mit unangemessener Geschwindigkeit gefahren wäre. Auch kann dessen Aussage, wonach er nicht aufs Trottoir hat ausweichen können, weil sich dort Fussgänger befanden, nicht widerlegt werden. Fraglich ist deshalb lediglich, ob er mit seinem Auto auf der freigegebenen Fahrbahn verblieben ist oder ob er in den abgesperrten Bereich hineingefahren ist. Nur in letzterem Fall könnte ihm allenfalls vorgeworfen werden, dass er die notwendige Aufmerksamkeit als Fahrzeuglenker hat vermissen lassen.</w:t>
      </w:r>
    </w:p>
    <w:p>
      <w:r>
        <w:t>2.4Die Staatsanwaltschaft ist in ihrer Einstellungsverfügung davon ausgegangen, dass nicht der Beschwerdegegner die Absperrung überfahren hat, sondern vielmehr der Beschwerdeführer absolut unvermittelt und ohne ersichtlichen Grund aus dem abgetrennten Bereich auf die Fahrbahn getreten ist. Diese Variante wird durch das Protokoll, das die Kantonspolizei über den Verkehrsunfall erstellt hat, gestützt. Der Beschwerdegegner ist noch auf der Unfallstelle als beschuldigte Person einvernommen worden. Dabei hat er die Frage, Befand sich der Bauarbeiter ausserhalb der Baustellen-Signalisation, folgendermassen beantwortet: Das kann ich nicht genau sagen. Die Arbeiter waren in Bewegung. Der Beschwerdeführer selbst ist wenig später im Spital als Auskunftsperson befragt worden; das entsprechende Protokoll hat er unterschrieben. Vorliegend ist der folgende Teil seiner Aussage von Interesse: Ich habe an der Strassenseite, wo die Autos durchfuhren, gestanden. Mit dem Rücken zum Verkehr. Mein Kollege stand genau vor mir, gegenüber dem Strassenschacht. Ich machte mit meinem linken Bein einen Ausfallschritt nach hinten. Dann zog es mir das Bein weg und ich merkte wie ich wegtauchte und zu Boden ging. Auf die Frage Konnten Sie sehen wie der PW herannahte?, hat er geantwortet Ich konnte nicht sehen wie er an uns heran fuhr. Ob der Beschwerdegegner in den abgesperrten Bereich gefahren ist oder ob er selbst aus diesem herausgetreten ist, ist anlässlich dieses Gesprächs nicht zur Sprache gekommen, auch dann nicht, als dem Beschwerdeführer die Möglichkeit zu Fragen oder Ergänzungen geboten worden ist. Am 27. März 2015 ist er erneut befragt worden, dieses Mal telefonisch und als Beschuldigter. Erst dabei hat er erklärt, Ich habe den Ausfallschritt nicht ausserhalb, sondern innerhalb der abgesperrten (absignalisierten) Zone der Baustelle gemacht. Wir haben soweit abgesperrt, damit ein solcher Ausfallschritt möglich wäre. Schliesslich lautet die am Unfalltag aufgenommene Aussage des Arbeitskollegen des Beschwerdeführers, der als unbeteiligter Zeuge befragt worden ist, wie folgt: A____ war damit beschäftigt, den Roboter bereit zu machen. Ich konnte sehen wie ein anderes Auto hinter A____ durchfuhr. Anschliessend fuhr ein weiteres Auto hinter ihm durch, welches ihn erwischt hatte. Das Auto fuhr nicht schnell an uns vorbei. A____ hat noch einen Schritt nach hinten gemacht, als der PW vorbei fuhr und sah ich ihn schon stürzen. Entgegen den Ausführungen in der Beschwerde trifft es somit weder zu, dass bereits im Rapport, den der Beschwerdeführer im Spital unterschrieben hat, vermerkt worden ist, dass der Beschwerdegegner die Absperrung überfahren hat, noch dass der Arbeitskollege des Beschwerdeführers dies so bestätigt hätte. Der Beschwerdeführer ist mit dem Rücken zur Fahrbahn gestanden, weshalb er die durch den Beschwerdegegner gefahrene Spur gar nicht hat wahrnehmen können. Die Behauptung in seiner Befragung als beschuldigte Person, wonach sie die Baustelle soweit abgesperrt hätten, dass ein solcher Ausfallschritt innerhalb der Markierung möglich war, ist wenig überzeugend, bestand dafür doch gar kein Anlass. Denn der Lieferwagen stand parallel zum Strassenrand, sodass ein Schritt in Richtung Strassenmitte selbst bei Entnahme von Material aus dem Kofferraum nicht notwendig war. Aufgrund der vorhandenen Aussagen liesse sich der Nachweis nicht erbringen, dass der Beschwerdegegner den Beschwerdeführer im abgesperrten Bereich angefahren hat. Es ist auch nicht ersichtlich, dass weitere Ermittlungen daran etwas ändern würden. Selbst wenn der Arbeitskollege des Beschwerdeführers nunmehr dessen Darstellung bestätigen würde, würde mit grösster Wahrscheinlichkeit auf die zeitnahe Aussage abgestellt werden. Eine Verurteilung des Beschwerdegegners wegen fahrlässiger Körperverletzung ist bei dieser Sachlage äusserst unwahrscheinlich, weshalb die Verfahrenseinstellung zu Recht erfolgt ist.</w:t>
      </w:r>
    </w:p>
    <w:p>
      <w:r>
        <w:rPr>
          <w:b/>
        </w:rPr>
        <w:t>E. 3</w:t>
      </w:r>
    </w:p>
    <w:p>
      <w:r>
        <w:t>Die Beschwerde erweist sich nach dem Gesagten als unbegründet und ist abzuweisen. Bei diesem Ausgang des Beschwerdeverfahrens hat der Beschwerdeführer dessen Kosten zu tragen. Dem anwaltlich vertretenen Beschwerdegegner ist eine angemessene Parteientschädigung aus der Gerichtskasse auszurichten. Der Aufwand ist mangels Kostennote auf 4 Stunden zu schätzen, die zu einem Ansatz von CHF 250. zu vergüten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