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BES.2015.155 vom 23. Dezember 2015</w:t>
      </w:r>
    </w:p>
    <w:p>
      <w:r>
        <w:t>BS Appellationsgericht, 2015-12-23, DE</w:t>
      </w:r>
    </w:p>
    <w:p>
      <w:r>
        <w:rPr>
          <w:b/>
        </w:rPr>
        <w:t xml:space="preserve">Quelle: </w:t>
      </w:r>
      <w:r>
        <w:t>https://mcp.opencaselaw.ch/entscheid/bs_appellationsgericht_BES.2015.155</w:t>
      </w:r>
    </w:p>
    <w:p>
      <w:r>
        <w:t>FR: BS_APPELLATIONSGERICHT BES.2015.155 du 23 décembre 2015</w:t>
      </w:r>
    </w:p>
    <w:p>
      <w:r>
        <w:t>IT: BS_APPELLATIONSGERICHT BES.2015.155 del 23 dicembre 2015</w:t>
      </w:r>
    </w:p>
    <w:p>
      <w:pPr>
        <w:pStyle w:val="Heading2"/>
      </w:pPr>
      <w:r>
        <w:t>Erwägungen</w:t>
      </w:r>
    </w:p>
    <w:p>
      <w:r>
        <w:rPr>
          <w:b/>
        </w:rPr>
        <w:t>E. 1</w:t>
      </w:r>
    </w:p>
    <w:p>
      <w:r>
        <w:t>1.1Nichtanhandnahmeverfügungen der Staatsanwaltschaft können innert 10 Tagen mit Beschwerde bei der Beschwerdeinstanz angefochten werden (Art. 393 Abs. 1 lit. a sowie Art. 310 Abs. 2 in Verbindung mit Art. 322 Abs. 2 StPO). Bei Rechtsverweigerungsbeschwerden ist gemäss Art. 393 Abs. 2 StPO keine Rechtsmittelfrist zu beachten. Zuständiges Beschwerdegericht ist das Appellationsgericht als Einzelgericht (§ 73a Abs. 1 lit. a GOG; § 17 lit. a EG StPO). Die Kognition des Beschwerdegerichts ist frei und somit nicht auf Willkür beschränkt (Art. 393 Abs. 2 StPO).</w:t>
      </w:r>
    </w:p>
    <w:p>
      <w:r>
        <w:t>1.2Zur Beschwerde legitimiert ist jede Partei, die ein rechtlich geschütztes Interesse an der Aufhebung oder Änderung eines Entscheides hat (Art. 382 Abs. 1 StPO). Der Beschwerdeführer ist als Anzeigesteller grundsätzlich selbst und unmittelbar in seinen Interessen betroffen, da das zur Anzeige gebrachte Delikt zu seinem Nachteil begangen worden sein soll. Entsprechend hat er ein rechtlich geschütztes Interesse an der Aufhebung der Nichtanhandnahmeverfügung und ist somit zur Beschwerdeerhebung legitimiert. Die Beschwerde ist gemäss Art. 396 StPO form- und fristgemäss eingereicht und begründet worden, so dass auf sie einzutreten ist.</w:t>
      </w:r>
    </w:p>
    <w:p>
      <w:r>
        <w:rPr>
          <w:b/>
        </w:rPr>
        <w:t>E. 2</w:t>
      </w:r>
    </w:p>
    <w:p>
      <w:r>
        <w:t>2.1Die Staatsanwaltschaft hat, gestützt auf die aus dem Polizeirapport und den eingereichten Unterlagen gewonnenen Erkenntnisse, die angefochtene Verfügung damit begründet, dass der zur Anzeige gebrachte Straftatbestand eindeutig nicht erfüllt sei, was eine Nichtanhandnahme zur Folge habe. Der Beschwerdeführer macht hingegen geltend, die Nichtanhandnahme sei zu Unrecht verfügt worden und verlangt eine Bestrafung des angeblich fehlbaren Mitarbeiters der Steuerverwaltung.</w:t>
      </w:r>
    </w:p>
    <w:p>
      <w:r>
        <w:t>2.2Gemäss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BV und Art. 2 Abs. 1 StPO in Verbindung mit Art. 309 Abs. 1, Art. 319 Abs. 1 und Art. 324 Abs. 1 StPO; vgl. BGer 1B_235/2012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(Omlin, in: Niggli et al. [Hrsg.], Basler Kommentar StPO, 2. Aufl., Basel 2014, Art. 310 StPO N 9;Landshut/Bosshard, in: Donatsch et al. [Hrsg.], StPO Kommentar, 2. Aufl., Zürich/Basel/Genf 2014, Art. 310 N 4). Die Vorschrift von Art. 310 StPO hat zwingenden Charakter: Liegen deren Voraussetzungen vor, darf die Staatsanwaltschaft kein Strafverfahren eröffnen, sondern hat zwingend eine Nichtanhandnahmeverfügung zu erlassen (statt vieler: AGE BES.2015.43 vom 29. Juli 2015 E. 2.1;Omlin, a.a.O., Art. 310 N 8).</w:t>
      </w:r>
    </w:p>
    <w:p>
      <w:r>
        <w:t>2.3Die Staatsanwaltschaft begründet die angefochtene Verfügung damit, dass der zur Anzeige gebrachte Straftatbestand eindeutig nicht erfüllt sei. Es bestehe aufgrund der Anzeige und der eingereichten Unterlagen keinerlei konkreter Verdacht auf ein strafrechtlich relevantes Verhalten seitens des Beschuldigten. Dessen E-Mail-Antwort an den Beschwerdeführer vom 13. Oktober 2015 stelle weder eine widerrechtliche Verfügung dar noch werde damit unrechtmässig Zwang angewendet. Dem Beschwerdeführer sei in völlig korrekter Art und Weise die Sach- und Rechtslage erörtert worden. Vor diesem Hintergrund erscheine die Anzeige trölerisch und es bestehe kein Anlass, ein Untersuchungsverfahren zu eröffnen.</w:t>
      </w:r>
    </w:p>
    <w:p>
      <w:r>
        <w:t>2.4Den zutreffenden Ausführungen der Staatsanwaltschaft ist zu folgen. Aus den Ausführungen in der Beschwerdebegründung geht sich hervor, dass der Beschwerdeführer seit längerer Zeit im Streit mit den Steuerbehörden befindet (Beschwerde p. 1, vgl. dazu auch Polizeirapport p. 2). Er macht geltend, er habe den Mitarbeiter der Steuerverwaltung, B____, um die Zustellung von Kontoauszügen gebeten, was dieser auch getan habe, jedoch hätten Rechtsmittelbelehrung und Unterschrift gefehlt. In der Folge habe der Beschwerdeführer um die Zustellung der Schriften in beschwerdefähiger Form und nach vorgängigem rechtlichen Gehör verlangt. Daraufhin habe ihm B____ per E-Mail beschieden, die Kontoauszüge würden immer ohne Unterschrift zugestellt, da diese nur zur Information über den Restausstand dienten. Er erhalte in diesem Verfahrensabschnitt keine beschwerdefähige Verfügung mehr. Der Beschwerdeführer habe entweder die Forderung gemäss der Information zu bezahlen oder es werde das Betreibungsverfahren weitergeführt (vgl. E-Mail vom 13. Oktober 2015). Die Vorinstanz hat zutreffend festgestellt, dass in der fraglichen E-Mail-Nachricht keinerlei Überschreitung der Kompetenzen durch B____ als Ressortleiter Steuerbezug und kantonales Inkasso erblickt werden kann (Nichtanhandnahmeverfügung vom 20. Oktober 2015). Vielmehr hat er den Beschwerdeführer in korrekter, kurz und sachlich über die Sach- und Rechtslage informiert sowie ihm das weitere Vorgehen der Steuerverwaltung im Inkassostadium erläutert. Von Amtsmissbrauch, Willkür oder gar Nötigung, wie der Beschwerdeführer in seiner Beschwerde geltend macht, kann bei diesem Sachverhalt keine Rede sein. Die Rügen des Beschwerdeführers könnten allenfalls Inhalt einer Aufsichtsbeschwerde an den Departementsvorsteher sein; strafrechtlich relevant sind die Vorwürfe indessen nicht.</w:t>
      </w:r>
    </w:p>
    <w:p>
      <w:r>
        <w:rPr>
          <w:b/>
        </w:rPr>
        <w:t>E. 3</w:t>
      </w:r>
    </w:p>
    <w:p>
      <w:r>
        <w:t>3.1Zusammenfassend ergibt sich weder aus den Darlegungen des Beschwerdeführers noch den eingereichten Unterlagen ein Anhaltspunkt für einen Verdacht auf den zur Anzeige gebrachten Straftatbestand. Damit erweist sich der strafrechtliche Vorwurf als haltlos. Vor diesem Hintergrund hat die Staatsanwaltschaft zu Recht die Nichtanhandnahme verfügt. Die Beschwerde ist aufgrund der vorstehenden Erwägungen als unbegründet abzuweisen.</w:t>
      </w:r>
    </w:p>
    <w:p>
      <w:r>
        <w:t>3.2Bei diesem Ausgang des Verfahrens trägt der Beschwerdeführer dessen Kosten mit einer Gebühr von CHF 400. in Anwendung von Art. 428 Abs. 1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