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BES.2015.132 vom 1. September 2014</w:t>
      </w:r>
    </w:p>
    <w:p>
      <w:r>
        <w:t>BS Appellationsgericht, 2014-09-01, DE</w:t>
      </w:r>
    </w:p>
    <w:p>
      <w:r>
        <w:rPr>
          <w:b/>
        </w:rPr>
        <w:t xml:space="preserve">Quelle: </w:t>
      </w:r>
      <w:r>
        <w:t>https://mcp.opencaselaw.ch/entscheid/bs_appellationsgericht_BES.2015.132</w:t>
      </w:r>
    </w:p>
    <w:p>
      <w:r>
        <w:t>FR: BS_APPELLATIONSGERICHT BES.2015.132 du 1 septembre 2014</w:t>
      </w:r>
    </w:p>
    <w:p>
      <w:r>
        <w:t>IT: BS_APPELLATIONSGERICHT BES.2015.132 del 1 settembre 2014</w:t>
      </w:r>
    </w:p>
    <w:p>
      <w:pPr>
        <w:pStyle w:val="Heading2"/>
      </w:pPr>
      <w:r>
        <w:t>Erwägungen</w:t>
      </w:r>
    </w:p>
    <w:p>
      <w:r>
        <w:rPr>
          <w:b/>
        </w:rPr>
        <w:t>E. 1</w:t>
      </w:r>
    </w:p>
    <w:p>
      <w:r>
        <w:t>1.1Gemäss Art. 393 Abs. 1 lit. a der Schweizerischen Strafprozessordnung (StPO, SR 312.0) unterliegen Verfügungen und Verfahrenshandlungen der Staatsanwaltschaft der Beschwerde. Zur Beschwerde legitimiert ist jede Partei, die ein rechtlich geschütztes Interesse an der Aufhebung oder Änderung eines Entscheides hat (Art. 382 Abs. 1 StPO). Der Beschwerdeführer ist als Anzeigesteller grundsätzlich selbst und unmittelbar in seinen Interessen betroffen, da das zur Anzeige gebrachte Delikt zu seinem Nachteil begangen worden sein soll. Entsprechend hat er ein rechtlich geschütztes Interesse an der Aufhebung der Nichtanhandnahmeverfügung und ist zur Beschwerdeerhebung legitimiert. Die Beschwerde ist gemäss Art. 396 StPO form- und fristgemäss eingereicht und begründet worden, so dass auf sie einzutreten ist.</w:t>
      </w:r>
    </w:p>
    <w:p>
      <w:r>
        <w:t>1.2Zuständige Beschwerdeinstanz ist das Appellationsgericht als Einzelgericht (§ 4 lit. c und § 17 lit. a des Einführungsgesetzes zur Strafprozessordnung, EG StPO, SG 257.100; § 73a Abs. 1 lit. a des Gerichtsorganisationsgesetzes, GOG, SG 154.100), welches nach Art. 393 Abs. 2 StPO mit freier Kognition urteilt.</w:t>
      </w:r>
    </w:p>
    <w:p>
      <w:r>
        <w:t>1.3Der Beschwerdeführer lehnt das Appellationsgericht und eventualiter die Staatsanwaltschaft pauschal ab. Es ist jedoch nicht zulässig, ganze Behörden abzulehnen. Ausstandsgesuche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Ausstandsbegehren Befangenheitsgründe gegen alle Einzelmitglieder ausreichend substanziiert werden (BGer 1B_405/2014 vom 12. Mai 2015 E. 6.2; 1B_299/2013 vom 14. Oktober 2013 E. 4.6; 1B_189/2013 vom 18. Juni 2013 E. 2.3; 1B_86/2011 vom 14. April 2011 E. 3.3.1;Schmid, StPO Praxiskommentar,</w:t>
      </w:r>
    </w:p>
    <w:p>
      <w:r>
        <w:rPr>
          <w:b/>
        </w:rPr>
        <w:t>E. 2</w:t>
      </w:r>
    </w:p>
    <w:p>
      <w:r>
        <w:t>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StPO, Art. 310 N 9;Landshut/Bosshard, in: Donatsch et al. [Hrsg.], Kommentar zur StPO, 2. Auflage 2014, Art. 310 N 4). Die Vorschrift von Art. 310 StPO hat zwingenden Charakter: Liegen deren Voraussetzungen vor, darf die Staatsanwaltschaft kein Strafverfahren eröffnen, sondern hat zwingend eine Nichtanhandnahmeverfügung zu erlassen (statt vieler: AGE BES.2015.43 vom 24. April 2015 E. 2.1;Omlin, a.a.O., Art. 310 N 8).</w:t>
      </w:r>
    </w:p>
    <w:p>
      <w:r>
        <w:rPr>
          <w:b/>
        </w:rPr>
        <w:t>E. 3</w:t>
      </w:r>
    </w:p>
    <w:p>
      <w:r>
        <w:t>3.1Die Strafanzeige steht im Zusammenhang mit dem Berufungsverfahren, in welchem der Beschwerdeführer sich gegen seine erstinstanzliche Verurteilung wehrt. Gegenstand des vorliegenden Verfahrens ist die Frage, ob die Nichtanhandnahme der Strafuntersuchung zu Recht erfolgt ist. Nicht Gegenstand dieses Verfahrens sind die Fragen nach dem Fristenlauf für die Berufungserklärung, nach allfälligen Beweisverwertungsverboten etc. Darüber hat ausschliesslich das Berufungsgericht im Berufungsverfahren zu entscheiden.</w:t>
      </w:r>
    </w:p>
    <w:p>
      <w:r>
        <w:t>3.2Wie der Beschwerdeführer in der Strafanzeige vom 12. August 2015 (S.1 sowie Beilage Nr. 2) ausführt, hat er selber das Appellationsgericht darauf aufmerksam gemacht, dass zwar das Urteilsdispositiv, nicht aber die schriftliche Urteilsbegründung und das Verfahrensprotokoll unterzeichnet waren. Er wirft der Vorsitzenden Appellationsgerichtspräsidentin und dem Strafgerichtspräsidenten nun vor, dass dieser Mangel, den er selber beanstandet hatte, inzwischen behoben wurde. Indem die Appellationsgerichtspräsidentin das Strafgericht aufgefordert habe, ein unterzeichnetes Exemplar des Urteils und des Verhandlungsprotokolls einzureichen, und indem der Strafgerichtspräsident dieses Urteil unterzeichnet habe, hätten sich beide strafbar gemacht.</w:t>
      </w:r>
    </w:p>
    <w:p>
      <w:r>
        <w:t>3.3Gemäss Art. 80 Abs. 2 StPO sind Entscheide von der Verfahrensleitung sowie der protokollführenden Person zu unterzeichnen. Es ist das gute Recht des Beschwerdeführers, sich auf diese Vorschrift zu berufen, wenn er ein Urteil erhält, das nicht unterzeichnet ist. Ob die nachträgliche Unterschrift diesen Mangel geheilt hat oder nicht, ist im Berufungsverfahren zu entscheiden. Indessen ist es treuwidrig, den Behörden zunächst ein Versäumnis vorzuhalten und ihnen dann Urkundenfälschung vorzuwerfen, nachdem der Mangel behoben wurde. Es gibt keinen einzigen Hinweis, dass mit der Nachlieferung der fehlenden Unterschriften das bereits gefällte Urteil inhaltlich verändert worden wäre. Bei dieser Ausgangslage entsteht der Eindruck, dass der Beschwerdeführer mit der Beschwerde  als eines von vielen Rechtsmitteln, die er in diesem Strafverfahren bereits ergriffen hat  einzig bezweckt, das gegen ihn hängige Strafverfahren zu erschweren und zu verzögern.</w:t>
      </w:r>
    </w:p>
    <w:p>
      <w:r>
        <w:t>3.4Die Tatbestandsmerkmale der vom Beschwerdeführer vorgeworfenen Delikte sind offensichtlich nicht erfüllt: Für den angeblichen Betrug liegen weder Vermögensverfügung, Vermögensschaden, Täuschung noch Arglist vor. Die Aufforderung zur nachträglichen Unterzeichnung durch die Vorsitzende Appellationsgerichtspräsidentin, der damals die Verfahrensleitung im Berufungsverfahren oblag, erfolgte transparent in Form einer Verfügung. Soweit der Beschwerdeführer suggeriert, es sei etwas verheimlicht worden, trifft dies offensichtlich nicht zu. Urkundenfälschung setzt Täuschungsabsicht voraus (Boog, in: Basler Kommentar StGB, 3. Auflage 2013, Art. 251 N 182 f.). Vorliegend wurde indessen weder über den Aussteller noch über den Zeitpunkt der Unterzeichnung getäuscht. Der Vorwurf der Falschbeurkundung (nachträgliche Abänderung des Inhalts) entbehrt jeder Grundlage. Es gibt keine Anhaltspunkte, dass jemand bezüglich der Echtheit oder Wahrheit der Urkunde einen Irrtum erregen wollte. Wo hier eine Täuschung zwecks Veranlassung zu einem rechtserheblichen Verhalten liegen soll, ist nicht ersichtlich. Amtsmissbrauch liegt vor, wenn in Grundfreiheiten eingegriffen wird, ohne dass die erforderlichen gesetzlichen Grundlagen vorliegen. Die Amtsgewalt muss sich in der Regel gegen gewaltunterworfene Personen ausserhalb der Verwaltung richten. Der Tatbestand schützt vor Missbrauch von Machtbefugnissen (Heimgartner, in: Basler Kommentar StGB, Art. 312 N 6, 8, 16). Vorliegendenfalls wurde kein unrechtmässiger hoheitlicher Zwang ausgeübt. Wie der Beschwerdeführer selber ausführte, besteht eine gesetzliche Vorschrift, die Urteile zu unterzeichnen. Die genannten Straftatbestände sind eindeutig nicht erfüllt, was diesbezüglich zur Abweisung der Beschwerde führt.</w:t>
      </w:r>
    </w:p>
    <w:p>
      <w:r>
        <w:t>3.5Ebenfalls im Berufungsverfahren wird der Einwand zu berücksichtigen sein, dass die Akten des Strafverfahrens nicht vollständig seien. Der Beschwerdeführer legt diesbezüglich ein mehrseitiges Protokoll vor, das mit seinem Briefkopf ausgestattet ist und das durch einen Bundesgerichtsschreiber unterzeichnet worden sein soll (Beschwerde S. 5 und Beilage Nr. 3 zur Strafanzeige vom 12. August 2015). Dass ein Mitarbeiter des Bundesgerichts auf dem Privatpapier des Beschwerdeführers Aktenstücke als nicht vorhanden bestätigt haben soll, wirft gewisse Fragen auf, zumal das Bundesgericht dies den kantonalen Behörden nicht auf offiziellem Wege mitgeteilt hat. Wie es sich damit im Einzelnen verhält, ist für die Beurteilung der vorliegenden Beschwerde aber nicht entscheidend und kann daher offen bleiben.</w:t>
      </w:r>
    </w:p>
    <w:p>
      <w:r>
        <w:rPr>
          <w:b/>
        </w:rPr>
        <w:t>E. 4</w:t>
      </w:r>
    </w:p>
    <w:p>
      <w:r>
        <w:t>Zusammenfassend erweisen sich die strafrechtlichen Vorwürfe, die der Strafanzeige zugrunde liegen, als haltlos, weshalb die angefochtene Nichtanhandnahme zu bestätigen und die Beschwerde als unbegründet abzuweisen ist, soweit darauf eingetreten wird. Bei diesem Ausgang des Verfahrens trägt der Beschwerdeführer dessen Kosten mit einer Gebühr von CHF 500.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