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 vom 5. März 2015</w:t>
      </w:r>
    </w:p>
    <w:p>
      <w:r>
        <w:t>BS Appellationsgericht, 2015-03-05, DE</w:t>
      </w:r>
    </w:p>
    <w:p>
      <w:r>
        <w:rPr>
          <w:b/>
        </w:rPr>
        <w:t xml:space="preserve">Quelle: </w:t>
      </w:r>
      <w:r>
        <w:t>https://mcp.opencaselaw.ch/entscheid/bs_appellationsgericht_BES.2014.17</w:t>
      </w:r>
    </w:p>
    <w:p>
      <w:r>
        <w:t>FR: BS_APPELLATIONSGERICHT BES.2014.17 du 5 mars 2015</w:t>
      </w:r>
    </w:p>
    <w:p>
      <w:r>
        <w:t>IT: BS_APPELLATIONSGERICHT BES.2014.17 del 5 marzo 2015</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an die Beschwerdeinstanz. Für Einstellungsverfügungen wird dies in Art. 322 Abs. 2 StPO ausdrücklich hervorgehoben; Beschwerden gegen Nichtanhandnahmeverfügungen sind gemäss Art. 310 Abs. 2 StPO analog zu behandeln (Omlin, in: Basler Kommentar StPO, 2. Aufl.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bzw. von diesem berührt ist und ein rechtlich geschütztes Interesse geltend machen kann (Lieber, in: Donatsch/Hansjakob/Lieber, Kommentar zur Schweizerischen Strafprozessordnung, 2. Auflage 2014, Art. 382 StPO N 2;Schmid, Schweizerische Strafprozessordnung, Praxiskommentar, Zürich/St. Gallen 2013, Art. 382 StPO N 1 f.; AGE BES.2013.22 vom 16. August 2013 m.w.H.). Der Beschwerdeführer ist als Anzeigesteller und Privatkläger zur Beschwerdeerhebung legitimiert.</w:t>
      </w:r>
    </w:p>
    <w:p>
      <w:r>
        <w:t>1.3Die Beschwerde ist gemäss Art. 396 StPO form- und fristgerecht eingereicht und begründet, so dass auf sie einzutreten ist. Zuständiges Beschwerdegericht ist das Appellationsgerichtals Einzelgericht (§ 73a Abs. 1 lit. a GOG [SG 154.100]; § 17 lit. a EG StPO [SG 257.100]). Die Kognition des Beschwerdegerichts ist frei und nicht auf Willkür beschränkt (Art. 393 Abs. 2 StPO).</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a.a.O.).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sie zwingend eine Nichtanhandnahmeverfügung erlassen (Omlin, in: Basler Kommentar, Basel 2014, Art. 310 StPO N 6 ff., vgl. auch AGE BES 2013.96 vom 20. März 2014 E. 2.1 und BES.2012.94 vom 7. Februar 2013 E. 2.1).</w:t>
      </w:r>
    </w:p>
    <w:p>
      <w:r>
        <w:t>2.2Der Beschwerdeführer wirft der Staatsanwaltschaft vor, sie habe sich zur Begründung der Nichtanhandnahme auf eine unzutreffende bzw. unvollständige Feststellung des Sachverhalts durch die Stadtgärtnerei gestützt. Die Charakterisierung des von der Beschwerdegegnerin 2 veranlassten Eingriffs im Wurzelbereich der fraglichen Fichte als geringfügig sei einer unvollständigen Erhebung der Tatsachen geschuldet. So seien auf einer Länge von sechs Metern Wurzeln einer Hecke und auch der beschädigten Fichte herausgerissen worden, was die gemäss Vorbringen des Beschwerdeführers noch in Ausbildung stehenden Mitarbeiter der Stadtgärtnerei bei ihrer Besichtigung nicht beachtet hätten. Vielmehr hätten die Mitarbeiter der Stadtgärtnerei entgegen ihren Pflichten die Durchmesser der abgesägten Äste sowie die Masse der Grabung nicht genau dokumentiert, weshalb die Folgen für die Fichte nicht korrekt hätten eingeschätzt werden können. Der Schadensbeurteilung der Stadtgärtnerei stellt der Beschwerdeführer die Auskunft eines von ihm beauftragten Baumsachverständigen vom 6. November 2013 gegenüber (act. 3). Dieser kommt zum Schluss, dass durch die Grabung ein Wurzelverlust von 25 Prozent verursacht worden sei, was die Gefahr einer massiven Schwächung der Fichte und des Befalls durch Schadenorganismen beinhalte und im schlimmsten Fall zum kompletten Absterben des Baumes führen könne. Darüber hinaus sei durch eine einseitige Wurzelentfernung die Statik des Baumes beeinträchtigt worden. Insgesamt errechnet der vom Beschwerdeführer herangezogene Baumsachverständige eine Schädigung der Fichte von 38 Prozent, was einer Schadenssumme von CHF 11817. (ohne Mehrwertsteuer) entspreche. Die Diskrepanz in der Einschätzung des Schadens sei auf die Unerfahrenheit der betreffenden Mitarbeiter der Stadtgärtnerei zurückzuführen. Insgesamt habe die Staatsanwaltschaft aufgrund des erheblichen Schadens die Nichtanhandnahme zu Unrecht verfügt.</w:t>
      </w:r>
    </w:p>
    <w:p>
      <w:r>
        <w:t>2.3Die Staatsanwaltschaft hält in ihrer Stellungnahme vom 6. März 2014 fest, dass es sich bei den fraglichen Gartenbauarbeiten nach Einschätzung der Stadtgärtnerei um einen geringfügigen Eingriff gehandelt habe, ohne Gefährdung der Lebensfähigkeit oder des Kronengleichgewichts der Fichte. Bei der Beurteilung des Sachverhalts habe die Stadtgärtnerei die Arbeiten im Wurzelbereich mitberücksichtigt, wie aus deren Schreiben vom 15. Mai 2012 (act. 6/60) und vom 20. Juni 2012 (act.6/66) hervorgehe. Aus den Akten seien überdies keine Gründe ersichtlich, die Zweifel an den fachlichen Kompetenzen der Mitarbeiter der Stadtgärtnerei begründeten, weshalb die Staatsanwaltschaft an der Verfügung der Nichtanhandnahme festhalte.</w:t>
      </w:r>
    </w:p>
    <w:p>
      <w:r>
        <w:rPr>
          <w:b/>
        </w:rPr>
        <w:t>E. 3</w:t>
      </w:r>
    </w:p>
    <w:p>
      <w:r>
        <w:t>Nach Art. 144 Abs. 1 StGB wird wegen Sachbeschädigung auf Antrag bestraft, wer eine Sache, an der ein fremdes Eigentumsrecht besteht, beschädigt, zerstört oder unbrauchbar macht. In subjektiver Hinsicht ist Vorsatz erforderlich, wobei Eventualvorsatz genügt.</w:t>
      </w:r>
    </w:p>
    <w:p>
      <w:r>
        <w:t>Vorliegend hat die Beschwerdegegnerin 2 vorgängig zur Auftragserteilung der Gartenbauarbeiten mit dem Einholen einer entsprechenden Auskunft bei der Stadtgärtnerei detaillierte Abklärungen in Bezug auf die fragliche Fichte getroffen. Die Stadtgärtnerei führte am 23. August 2011 eine erste Besichtigung vor Ort durch und versicherte der Beschwerdegegnerin 2 daraufhin, dass die untersten drei Äste der Fichte baumverträglich und dem Baumschutzgesetz entsprechend zurückgeschnitten werden könnten (act. 6/60). Auf Rückfrage der Beschwerdegegnerin 2 erfolgte diese Auskunft zusätzlich schriftlich mit Schreiben vom 19. Dezember 2011 (act. 6/82). Auf diese Auskünfte durfte sich die Beschwerdegegnerin 2 verlassen. Soweit sich die veranlassten Arbeiten auf die von der Stadtgärtnerei beurteilten in Aussicht gestellten Massnahmen beschränkten, kann der Beschwerdegegnerin 2 der in Art. 144 Abs. 1 StGB vorausgesetzte Schädigungsvorsatz klarerweise nicht unterstellt werden. Dies geht bereits aus den Schreiben der Stadtgärtnerei an den Vertreter des Beschwerdeführers vom 15. Mai 2012 und vom 20. Juni 2012 hervor. Etwas Gegenteiliges ergibt sich aus den weiteren Akten, einschliesslich der Eingaben der Beschwerdegegnerin 2, nicht. Ferner lässt sich auch mit Blick auf das Ergebnis der tatsächlich erfolgten Arbeiten kein Vorsatz der Beschwerdegegnerin 2 erkennen. Im Übrigen sind sich selbst die Sachverständigen über das Vorliegen eines Schadens uneinig. In welchem Ausmass ein allfälliger Schaden letztlich entstanden ist, oder noch zu entstehen droht, ist vor diesem Hintergrund für das vorliegende Verfahren unerheblich.</w:t>
      </w:r>
    </w:p>
    <w:p>
      <w:r>
        <w:rPr>
          <w:b/>
        </w:rPr>
        <w:t>E. 4</w:t>
      </w:r>
    </w:p>
    <w:p>
      <w:r>
        <w:t>Zusammenfassend ist festzuhalten, dass die Staatsanwaltschaft im vorliegenden Fall ohne weiteres die Nichtanhandnahme verfügen durfte, ist doch bereits aus den Akten ersichtlich, dass der Beschwerdegegnerin ein Schädigungsvorsatz nicht unterstellt und ihr Verhalten damit unter keinen Straftatbestand gestellt werden kann, sodass das Führen eines Verfahrens aussichtslos erscheint.</w:t>
      </w:r>
    </w:p>
    <w:p>
      <w:r>
        <w:rPr>
          <w:b/>
        </w:rPr>
        <w:t>E. 5</w:t>
      </w:r>
    </w:p>
    <w:p>
      <w:r>
        <w:t>Nach dem Gesagten ist die Beschwerde abzuweisen. Bei diesem Ausgang des Verfahrens hat der Beschwerdeführer dessen ordentliche Kosten mit einer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