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BES.2014.16 vom 31. Januar 2014</w:t>
      </w:r>
    </w:p>
    <w:p>
      <w:r>
        <w:t>BS Appellationsgericht, 2014-01-31, DE</w:t>
      </w:r>
    </w:p>
    <w:p>
      <w:r>
        <w:rPr>
          <w:b/>
        </w:rPr>
        <w:t xml:space="preserve">Quelle: </w:t>
      </w:r>
      <w:r>
        <w:t>https://mcp.opencaselaw.ch/entscheid/bs_appellationsgericht_BES.2014.16</w:t>
      </w:r>
    </w:p>
    <w:p>
      <w:r>
        <w:t>FR: BS_APPELLATIONSGERICHT BES.2014.16 du 31 janvier 2014</w:t>
      </w:r>
    </w:p>
    <w:p>
      <w:r>
        <w:t>IT: BS_APPELLATIONSGERICHT BES.2014.16 del 31 gennaio 2014</w:t>
      </w:r>
    </w:p>
    <w:p>
      <w:pPr>
        <w:pStyle w:val="Heading2"/>
      </w:pPr>
      <w:r>
        <w:t>Erwägungen</w:t>
      </w:r>
    </w:p>
    <w:p>
      <w:r>
        <w:rPr>
          <w:b/>
        </w:rPr>
        <w:t>E. 1</w:t>
      </w:r>
    </w:p>
    <w:p>
      <w:r>
        <w:t>StPO kann jede Partei, die ein rechtlich geschütztes Interesse an der Aufhebung oder Änderung eines Entscheides hat, ein Rechtsmittel ergreifen. Bei der Legitimation zur Ergreifung eines Rechtsmittels handelt es sich um eine Prozessvoraussetzung und damit eine Eintretensvoraussetzung. Vorliegend ist die Beschwer bzw. ein aktuelles Interesse des Beschwerdeführers an einem Entscheid nicht mehr gegeben, nachdem die Beschwerdegegnerin seinem Rechtsbegehren nachgekommen ist und darüber  in Wiedererwägung ihres Nichteintretensentscheids  schliesslich doch entschieden hat. Die Beschwerde ist somit als gegenstandslos abzuschreiben (vgl.Ziegler, in: Basler Kommentar StPO, Basel 2010, Art. 382 N 2).</w:t>
      </w:r>
    </w:p>
    <w:p>
      <w:r>
        <w:rPr>
          <w:b/>
        </w:rPr>
        <w:t>E. 2</w:t>
      </w:r>
    </w:p>
    <w:p>
      <w:r>
        <w:t>Bei nachträglicher Gegenstandslosigkeit des Rechtsmittelverfahrens ist in Bezug auf die Verfahrenskosten auf den mutmasslichen Ausgang des Prozesses abzustellen (Domeisen, in: Basler Kommentar StPO, Basel 2010, Art. 428 N 14; AGE BES.2013.52 vom 15. August 2013). Wie der Beschwerdeführer in seiner Beschwerde zutreffend ausgeführt hat, ist die Frage, ob jemand als Privatkläger oder Privatklägerin zugelassen wird oder nicht, für einen Beschuldigten bereits während des Untersuchungsverfahrens von praktischer Bedeutung. So kann die Privatklägerschaft zum Beispiel Akteneinsicht nehmen, Beweisanträge stellen, an Verfahrenshandlungen teilnehmen, sich zur Sache und zum Verfahren äussern (Art. 107 StPO) oder ein abgekürztes Verfahren zum Scheitern bringen (Art. 360 Abs. 5 StPO). Die Staatsanwaltschaft wäre in Gutheissung der Beschwerde zu verpflichten gewesen, über das Begehren des Beschwerdeführers zu entscheiden. Somit wäre sie im Beschwerdeverfahren unterlegen. Daraus folgt, dass sie der Beschwerdeführerin eine Parteientschädigung zu entrichten hat. Diese wird entsprechend dem geltend gemachten und angemessenen Aufwand des Rechtsvertreters des Beschwerdeführers auf CHF 990., zuzüglich 8 % MWST, festgelegt. Die Verfahrenskosten sind der Staatskasse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