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BES.2013.139 vom 7. August 2014</w:t>
      </w:r>
    </w:p>
    <w:p>
      <w:r>
        <w:t>BS Appellationsgericht, 2014-08-07, DE</w:t>
      </w:r>
    </w:p>
    <w:p>
      <w:r>
        <w:rPr>
          <w:b/>
        </w:rPr>
        <w:t xml:space="preserve">Quelle: </w:t>
      </w:r>
      <w:r>
        <w:t>https://mcp.opencaselaw.ch/entscheid/bs_appellationsgericht_BES.2013.139</w:t>
      </w:r>
    </w:p>
    <w:p>
      <w:r>
        <w:t>FR: BS_APPELLATIONSGERICHT BES.2013.139 du 7 août 2014</w:t>
      </w:r>
    </w:p>
    <w:p>
      <w:r>
        <w:t>IT: BS_APPELLATIONSGERICHT BES.2013.139 del 7 agosto 2014</w:t>
      </w:r>
    </w:p>
    <w:p>
      <w:pPr>
        <w:pStyle w:val="Heading2"/>
      </w:pPr>
      <w:r>
        <w:t>Erwägungen</w:t>
      </w:r>
    </w:p>
    <w:p>
      <w:r>
        <w:rPr>
          <w:b/>
        </w:rPr>
        <w:t>E. 1</w:t>
      </w:r>
    </w:p>
    <w:p>
      <w:r>
        <w:t>Gemäss Art. 393 Abs. 1 lit. a i.V. mit Art. 20 Abs. 1 lit. b der Schweizerischen Strafprozessordnung (StPO [SR 312.0]) unterliegen Verfügungen der Staatsanwaltschaft der Beschwerde an die Beschwerdeinstanz. Die Beschwerde ist als Laienbeschwerde entsprechend den Erfordernissen von Art. 396 StPO form- und fristgemäss eingereicht worden. Zuständiges Beschwerdegericht ist das Appellationsgericht als Einzelgericht (§ 4 lit. b und § 17 lit. b EG StPO [SG 257.100]; § 73a Abs. 1 lit. b GOG [SG 154.100]; AGE BES.2012.8 vom 7. November 2012). Der Beschwerdeführer ist im Sinne von Art. 382 Abs. 1 und Abs. 105 Abs. 1 lit. b und f StPO zur Beschwerde legitimiert (Franz Riklin, Schweizerische Strafprozessordnung, Zürich 2010, Art. 382 N 3;Viktor Lieber, in: Donatsch/Hansjakob/Lieber [Hrsg.], Kommentar zur StPO, Zürich 2010, Art. 382 N 2). Die Kognition des Beschwerdegerichts ist frei und nicht auf Willkür beschränkt (Art. 393 Abs. 2 StPO).</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Eine Nichtanhandnahme hat zu ergehen, wenn bereits aus den Akten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eine Nichtanhandnahmeverfügung erlassen  die Vorschrift hat zwingenden Charakter (AGE BES.2012.8 vom 7. November 2012; BSK StPO-Omlin, Art. 310 N 6 - 9).</w:t>
      </w:r>
    </w:p>
    <w:p>
      <w:r>
        <w:t>2.2Der Beschwerdeführer hat Anzeige wegen Betrugs und ungetreuer Geschäftsbesorgung erstattet. In der Sache hat er geltend gemacht, er habe im Februar 2012 erstmals Kontakt mit der Beschwerdegegnerin 2 gehabt. Er habe durch seine B_____ AG die E_____ AG, welche der Beschwerdegegnerin 2 gehört habe, übernehmen wollen; sie habe aber nur 50 % abgeben wollen. Am 12. März 2012 sei eine Vereinbarung zur Verhandlung über eine Beteiligung der B_____ AG an der E_____ AG unterzeichnet worden. In der Folge sei eine Vereinbarung zwischen ihm, der Beschwerdegegnerin 2, der B_____ AG, der E_____ AG und der F_____ AG getroffen worden. Letztere Gesellschaft gehöre ebenfalls der Beschwerdegegnerin 2. Am 4. Juni 2012 sei zwischen der Beschwerdegegnerin 2 und der B_____ AG der Kaufvertrag betreffend 50 % der E_____ AG für CHF 50'000. abgeschlossen worden. Die B_____ AG habe ihre Aufgaben gemäss Vereinbarung erfüllt, die Beschwerdegegnerin 2 jedoch nicht. Gemäss Vereinbarung hätte die F_____ AG alle Proben an die E_____ AG schicken und sämtliches Verbrauchsmaterial im Umfang von CHF 1,1 Mio. von der B_____ AG beziehen müssen. Die Proben seien aber an andere Labore gegangen, und das Kleinmaterial sei bei der Konkurrenz bezogen worden. Der Beschwerdeführer sei vereinbarungsgemäss CEO der E_____ AG geworden. Der Geschäftsgang sei ihm jedoch nie transparent gemacht worden. Er habe auch auf Verlangen hin keine Details erhalten, und sein Handlungsspielraum als CEO sei durch den Beschwerdegegner</w:t>
      </w:r>
    </w:p>
    <w:p>
      <w:r>
        <w:rPr>
          <w:b/>
        </w:rPr>
        <w:t>E. 3</w:t>
      </w:r>
    </w:p>
    <w:p>
      <w:r>
        <w:t>Zusammenfassend ergibt sich, dass aufgrund der Strafanzeige feststeht, dass die fraglichen Straftatbestände eindeutig nicht erfüllt sind. Die Staatsanwaltschaft hat somit zu Recht die Nichtanhandnahme verfügt. Damit ist die Beschwerde abzuweisen, und der Beschwerdeführer hat bei diesem Ausgang des Verfahrens dessen Kosten zu tragen. Den Beschwerdegegnern sind keine Kosten entstanden.</w:t>
      </w:r>
    </w:p>
    <w:p>
      <w:r>
        <w:t>Demgemäss erkenntdieAppellationsgerichtspräsidentin:</w:t>
      </w:r>
    </w:p>
    <w:p>
      <w:r>
        <w:t>://:        Die Beschwerde wird abgewiesen.</w:t>
      </w:r>
    </w:p>
    <w:p>
      <w:r>
        <w:t>Der Beschwerdeführer trägt die Kosten des Verfahrens mit einer Gebühr von CHF 800..</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