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BES.2013.132 vom 5. Dezember 2014</w:t>
      </w:r>
    </w:p>
    <w:p>
      <w:r>
        <w:t>BS Appellationsgericht, 2014-12-05, DE</w:t>
      </w:r>
    </w:p>
    <w:p>
      <w:r>
        <w:rPr>
          <w:b/>
        </w:rPr>
        <w:t xml:space="preserve">Quelle: </w:t>
      </w:r>
      <w:r>
        <w:t>https://mcp.opencaselaw.ch/entscheid/bs_appellationsgericht_BES.2013.132</w:t>
      </w:r>
    </w:p>
    <w:p>
      <w:r>
        <w:t>FR: BS_APPELLATIONSGERICHT BES.2013.132 du 5 décembre 2014</w:t>
      </w:r>
    </w:p>
    <w:p>
      <w:r>
        <w:t>IT: BS_APPELLATIONSGERICHT BES.2013.132 del 5 dicembre 2014</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wie namentlich jene, die Anzeige erstattet hat, zur Beschwerde legitimiert sein. Voraussetzung ist, dass diese Person sich am erstinstanzlichen Verfahren beteiligt hat bzw. von diesem berührt ist und ein rechtlich geschütztes Interesse geltend machen kann (Lieber, in: Donatsch/Hansjakob/Lieber, Kommentar zur Schweizerischen StPO, Art. 382 StPO N 2;Schmid, Praxiskommentar, Art. 382 StPO N 1 f.). Die Beschwerdeführerin ist als Anzeigestellerin durch die Verfahrenseinstellung selbst und unmittelbar in ihren Interessen tangiert, da das angezeigte Delikt zu ihrem Nachteil begangen worden sein soll. Sie hat daher ein Interesse an der Aufhebung der Einstellungsverfügung und ist zur Beschwerdeerhebung legitimiert.</w:t>
      </w:r>
    </w:p>
    <w:p>
      <w:r>
        <w:t>1.3Die Beschwerde wurde form- und fristgerecht erhoben, und es ist darauf einzutreten. Die Kognition des Beschwerdegerichts ist frei und nicht auf Willkür beschränkt (Art. 393 Abs. 2 StPO).</w:t>
      </w:r>
    </w:p>
    <w:p>
      <w:r>
        <w:t>Im Rahmen ihrer Beschwerde beantragt die Beschwerdeführerin die Befragung verschiedener Personen als Zeugen bzw. Auskunftspersonen. Die beantragte Einvernahme der Beschuldigten als Auskunftspersonen fällt von vornherein ausser Betracht. Die ausserdem beantragten Zeugen [] und [] wurden bereits einvernommen (Akten S. 58 ff., 67 ff.). Nach ihren übereinstimmenden Angaben im Zusammenhang mit dem Umgang mit Kundendaten waren diese für die Beschwerdegegner frei zugänglich. Von einer weiteren Befragung sind keine weiteren und insbesondere abweichenden Erkenntnisse zu erwarten, sodass darauf zu verzichten ist.</w:t>
      </w:r>
    </w:p>
    <w:p>
      <w:r>
        <w:rPr>
          <w:b/>
        </w:rPr>
        <w:t>E. 3</w:t>
      </w:r>
    </w:p>
    <w:p>
      <w:r>
        <w:t>3.1.     Die Einstellung des Strafverfahrens erfolgte teilweise aufgrund der Tatsache, dass Sachverhalte, welche sich vor Mitte 2012 zugetragen hatten und von denen die Beschwerdeführerin Kenntnis hatte, erst Mitte Februar 2013 und somit nach Ablauf der Strafantragsfrist beanzeigt wurde. Diesbezüglich wird die Verfahrensteinstellung seitens der Beschwerdeführerin explizit akzeptiert (Beschwerdebegründung II.2.).</w:t>
      </w:r>
    </w:p>
    <w:p>
      <w:r>
        <w:t>Die Beschwerde richtet sich einzig gegen die Einstellung des Verfahrens im Zusammenhang mit der Mitnahme von Kundendaten. Nach Ansicht der Beschwerdeführerin liegt eine Verstoss gegen Art. 4 lit. c UWG vor, da [] die Beschwerdegegner 2-5 zum Verrat von Geschäftsgeheimnissen verleitet und den Verrat geradezu geplant habe. Mit Bezug auf die Verletzung der Geheimnispflicht und des Konkurrenzverbotes nach Beendigung des Arbeitsverhältnisses sei Art. 162 StGB verletzt (Beschwerdebegründung II. 3-8.). Der Rechtsvertreter der Beschwerdeführerin rügt, die Vorinstanz habe mit der Einstellung den Grundsatz in dubio pro duriore verletzt, da keine klare Straflosigkeit vorliege und das Verfahren mit Strafbefehl hätte abgeschlossen werden müssen, oder aber eine Anklage und eine gerichtliche Beurteilung hätten erfolgen müssen.</w:t>
      </w:r>
    </w:p>
    <w:p>
      <w:r>
        <w:t>3.2Nach Darstellung der Beschwerdeführerin im Beschwerdeverfahren soll [] die Beschwerdegegner 2-5 zum Auskundschaften von Geschäftsgeheimnissen, namentlich von Kundendaten, verleitet haben, wie es Art. UWG 4 lit. c als unlauteres Handeln umschreibt. Die ursprüngliche Strafanzeige richtete sich indes nicht gegen [], weshalb dessen angebliche Beteiligung nicht Gegenstand des Strafverfahrens bzw. des Einstellungsbeschlusses war, daher auch nicht Gegenstand des Beschwerdeverfahrens sein kann und eine Anwendung von Art. 4 lit. c UWG somit nicht in Betracht kommt.</w:t>
      </w:r>
    </w:p>
    <w:p>
      <w:r>
        <w:t>Ebenfalls ausser Betracht fällt die Anwendung von Art. 6 UWG, der festhält, dass unlauter handelt, wer Fabrikations- oder Geschäftsgeheimnisse, die er ausgekundschaftet oder sonst wie unrechtmässig erfahren hat, verwertet oder anderen mitteilt. Durch eine Mitnahme von Kundendaten, welche den Beschwerdegegnern im Rahmen ihrer Tätigkeit zur Verfügung gestanden hatten, wurde im Sinne der genannten Bestimmung kein Geschäftsgeheimnis ausgekundschaftet, denn diese standen ihnen im Rahmen ihrer Tätigkeit für die Beschwerdeführerin zur Verfügung. Wird ein Geheimnis rechtmässig zur Kenntnis genommen, findet Art. 6 UWG keine Anwendung. Dies trifft bspw. zu für geheim zu haltende Informationen, die dem Arbeitnehmer im Rahmen eines Arbeitsverhältnisses anvertraut worden waren, selbst wenn sie dannzumal ein nachvertragliches Konkurrenzverbot (Art. 340ff. OR) oder die gesetzliche Geheimhaltungspflicht nach Art. 321a Abs. 4 OR verletzen sollten (Frick,in Basler Kommentar zum UWG, 2013, Art. 6 N 43 mit Hinweis aufDavid/Jacobs, Rz 411;Wickihalder, 138 m.w.H.).</w:t>
      </w:r>
    </w:p>
    <w:p>
      <w:r>
        <w:t>Schliesslich ist auch der Tatbestand von Art. 162 des Strafgesetzbuches offensichtlich nicht erfüllt, denn es macht sich nicht strafbar, wer sich das ihm anvertraute Geheimnis selbst zunutze macht (Trechsel/Jean-Richard, in Trechsel/Pieth (Hrsg.), Art. 162 N 9).</w:t>
      </w:r>
    </w:p>
    <w:p>
      <w:r>
        <w:t>Entgegen der Ansicht der Beschwerdeführerin liegt somit klare Straflosigkeit vor, und die Einstellung des Verfahrens durch die Staatsanwaltschaft ist nicht zu beanstanden, womit die Beschwerde abzuweisen ist.</w:t>
      </w:r>
    </w:p>
    <w:p>
      <w:r>
        <w:rPr>
          <w:b/>
        </w:rPr>
        <w:t>E. 4</w:t>
      </w:r>
    </w:p>
    <w:p>
      <w:r>
        <w:t>Bei diesem Ausgang des Verfahrens trägt die Beschwerdeführer gemäss Art. 428 Abs. 1 StPO dessen Kosten mit einer Gebühr von CHF 500.‒. Im Weiteren hat die Beschwerdeführerin den Beschwerdegegnern 2-5 eine Parteientschädigung auszurichten (Art. 432 Abs. 2 StPO). Der Aufwand des gemeinsamen Rechtsvertreters der Beschwerdegegner 2-5 wird auf 6 Stunden geschätzt, woraus sich unter praxisgemässer Zugrundelegung eines Stundensatzes von CHF 250.‒ eine Parteientschädigung von CHF 1500.‒ ergibt (inkl. Auslagen, zzgl. 8%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