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AUS.2026.29 vom 8. April 2026</w:t>
      </w:r>
    </w:p>
    <w:p>
      <w:r>
        <w:t>BS Appellationsgericht, 2026-04-08, DE</w:t>
      </w:r>
    </w:p>
    <w:p>
      <w:r>
        <w:rPr>
          <w:b/>
        </w:rPr>
        <w:t xml:space="preserve">Quelle: </w:t>
      </w:r>
      <w:r>
        <w:t>https://mcp.opencaselaw.ch/entscheid/bs_appellationsgericht_AUS.2026.29</w:t>
      </w:r>
    </w:p>
    <w:p>
      <w:r>
        <w:t>FR: BS_APPELLATIONSGERICHT AUS.2026.29 du 8 avril 2026</w:t>
      </w:r>
    </w:p>
    <w:p>
      <w:r>
        <w:t>IT: BS_APPELLATIONSGERICHT AUS.2026.29 del 8 aprile 2026</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AIG) angeführt. Es handelt sich um objektive gesetzliche Kriterien für die Annahme von Fluchtgefahr. Ob eine erhebliche Fluchtgefahr tatsächlich besteht, bedarf zusätzlich der Prüfung im Einzelfall (Zünd, in: Kommentar Migrationsrecht, Spescha et al. [Hrsg.], 6. Auflage 2026,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am 12. August 2022 in Deutschland und am 17. September 2025 sowie am 2. Februar 2026 in den Niederlanden um Asyl ersucht. Entgegen den behördlichen Anordnungen ist er jeweils  wie er anlässlich der Befragung vom 7. April 2026 selber einräumte  weitergereist, ohne das Ergebnis des Asylverfahrens abzuwarten. Nach dem Stellen des Asylgesuchs in Deutschland begab sich der Beurteilte im November 2024 eigenen Angaben zufolge nach Frankreich, ohne im Besitz der für den Grenzübertritt notwendigen Papiere zu sein. Aus dem EURODAC-Trefferformular wird ersichtlich, dass er sodann am 8. August 2025 nach Deutschland rücküberstellt wurde. Allerspätestens zu jenem Zeitpunkt musste ihm klar sein, dass die deutschen Behörden für sein Asyl- und Wegweisungsverfahren zuständig sind und er sich diesen zur Verfügung halten hat. Dass er sich in der Folge dennoch in die Niederlande begab, um die weiteren beiden Asylgesuche zu stellen, zeugt von grosser Gleichgültigkeit gegenüber behördlichen Anordnungen. Am 7. April 2026 wurde der Beurteilte in Basel-Stadt im Zusammenhang mit einem Diebstahldelikt polizeilich festgenommen und deswegen mit Strafbefehl der Staatsanwaltschaft Basel-Stadt vom 7. April 2026 des Diebstahls und der rechtswidrigen Einreise schuldig erklärt und zu einer bedingt vollziehbaren Freiheitsstrafe von 100 Tagen (Probezeit drei Jahre) verurteilt. Gemäss der Praxis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Die Untertauchensgefahr geradezu exemplarisch unterstreicht schliesslich die Tatsache, dass der Beurteilte gegenüber dem Migrationsamt angegeben hat, er werde im Fall einer Haftentlassung die Schweiz noch gleichentags in Richtung Frankreich verlassen  dies, obschon er zuvor in der Befragung einräumte, er wisse, dass er ohne gültige Reisedokumente keine Grenzübertritte tätigen dürfe.</w:t>
      </w:r>
    </w:p>
    <w:p>
      <w:r>
        <w:t>2.2.2Nach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 wie angegeben nach Frankreich weiterreisen würde und damit für die Behörden nicht mehr greifbar wäre.</w:t>
      </w:r>
    </w:p>
    <w:p>
      <w:r>
        <w:t>2.3Es stellt sich im Weiteren die Frage, ob ein milderes Mittel als Haft vorhanden ist, welches ein Untertauchen des Beurteilten wirksam verhindern könnte. Der Beurteilte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7. April 2026 auch zu Protokoll gegeben hat, dass es ihm gesundheitlich gut gehe. Zwar gab er an, er habe eine Wunde am Kopf, welche eine ärztliche Behandlung notwendig mache. Die medizinische Betreuung ist im Gefängnis Bässlergut allerdings sichergestellt und die geltend gemachte Verletzung steht einer späteren Überstellung in den zuständigen Dublin-Staat nicht entgegen. Im Rahmen der Gewährung des rechtlichen Gehörs im Zusammenhang mit der Zuständigkeit gemäss Dublin-Verordnung meinte der Beurteilte ausserdem zwar, dass ihm sowohl in Deutschland als auch den Niederlanden der Tod drohe. Abgesehen davon, dass er hierfür keinerlei Begründung ablieferte, steht diese Behauptung im Widerspruch zu seinen Angaben anlässlich der Befragung vom 7. April 2026, wonach es ihm in diesen Ländern nicht gefallen habe, weshalb er in die Schweiz weitergereist sei. Sie ist daher klarerweise als Schutzbehauptungen zu werten. Schliesslich ist auch die Anordnung der Vorbereitungshaft für die maximal mögliche Dauer von sieben Wochen (Art. 76a Abs. 3 lit. a AIG) nicht zu beanstanden, da zunächst die Zuständigkeit des Rückübernahmestaates (mutmasslich Deutschland oder die Niederlande) zu prüfen ist und das Staatssekretariat für Migration (SEM) anschliessend die Wegweisung verfügen muss. Der Beurteilte wird jedoch auf die Möglichkeit eines Haftentlassungsgesuchs hingewiesen. Das Migrationsamt ist zudem gehalten, das Beschleunigungsgebot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bis zum 26. Mai 2026,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t>Bestätigung</w:t>
      </w:r>
    </w:p>
    <w:p>
      <w:r>
        <w:t>Das Urteil AUS.2026.29 wurde A____ durch das Migrationsamt</w:t>
      </w:r>
    </w:p>
    <w:p>
      <w:r>
        <w:t>in ____________________________________________________Sprache eröffnet</w:t>
      </w:r>
    </w:p>
    <w:p>
      <w:r>
        <w:t>Datum:</w:t>
      </w:r>
    </w:p>
    <w:p>
      <w:r>
        <w:t>Unterschrift A____:</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