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AUS.2025.91 vom 11. August 2025</w:t>
      </w:r>
    </w:p>
    <w:p>
      <w:r>
        <w:t>BS Appellationsgericht, 2025-08-11, DE</w:t>
      </w:r>
    </w:p>
    <w:p>
      <w:r>
        <w:rPr>
          <w:b/>
        </w:rPr>
        <w:t xml:space="preserve">Quelle: </w:t>
      </w:r>
      <w:r>
        <w:t>https://mcp.opencaselaw.ch/entscheid/bs_appellationsgericht_AUS.2025.91</w:t>
      </w:r>
    </w:p>
    <w:p>
      <w:r>
        <w:t>FR: BS_APPELLATIONSGERICHT AUS.2025.91 du 11 août 2025</w:t>
      </w:r>
    </w:p>
    <w:p>
      <w:r>
        <w:t>IT: BS_APPELLATIONSGERICHT AUS.2025.91 del 11 agosto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angeführt. Darüber hinaus kann die betroffene ausländische Person gemäss Art. 76a Abs. 1 lit. f AIG zur Sicherstellung der Wegweisung in den für das Asylverfahren zuständigen Dublin-Staat in Haft genommen werden, wenn sie sich rechtswidrig in der Schweiz aufhält, hier ein Asylgesuch einreicht und damit offensichtlich bezweckt, den drohenden Vollzug einer Wegweisung zu vermeiden. Im Übrigen lässt die Verletzung eines Einreiseverbots ebenfalls befürchten, dass die betroffene Person sich der Durchführung der Wegweisung entziehen will (Art. 76a Abs. 2 lit. e AIG).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hat der Beurteilte, welcher auch mit der Aliasidentität [...] (geboren am [...], von Marokko) bekannt ist, am 23. Juni 2021 in Österreich, 19. Januar 2023 in Italien und am 18. Juli 2024 in Deutschland um Asyl ersucht. Entgegen den behördlichen Anordnungen ist er  wie er selber einräumt  ohne das Ergebnis des Asylverfahrens abzuwarten aus Österreich ausgereist und nach Italien gegangen, wo er sich während vier Jahren ohne Papiere, mithin illegal, aufgehalten habe. Danach sei er nach Deutschland gereist, wo er sich seit einem Jahr aufhalte. Am 9. August 2025 wurde er dann  ohne im Besitz der für den Grenzübertritt notwendigen Papiere zu sein und gegen das von den italienischen Behörden eröffnete schengenweite Einreiseverbot verstossend (Art. 76a Abs. 2 lit. e AIG)  mitten in der Nacht in Basel kontrolliert. Dass er hier nur mit einem Kollegen im Rhein baden wollte, ist aufgrund der Festnahmezeit um 01:35 Uhr und den mitgeführten Effekten (Beisszange, Messer und Nagelknipser) auszuschliessen. Dass der Beurteilte in der Vergangenheit bereits einmal untergetaucht ist, belegt schliesslich das am 21. August 2023 von Österreich im SIS ausgeschriebene Fahndungsersuchen zwecks Wegweisung.</w:t>
      </w:r>
    </w:p>
    <w:p>
      <w:r>
        <w:t>2.2.2Anlässlich der Befragung beim Migrationsamt vom 9. August 2025 wurde der Beurteilte am Ende gefragt, was er dazu sage, dass er in Haft bleiben müsse und so schnell wie möglich in den für ihn zuständigen Dublin-Staat überstellt werde. Als Antwort darauf gab er zu Protokoll, dass er diesfalls lieber Asyl in der Schweiz beantragen wolle, anstatt ins Gefängnis zu gehen. Er habe kein Verbrechen verübt. Vor diesem Hintergrund liegt auf der Hand, dass der sich rechtswidrig in der Schweiz befindliche Beurteilte  im Wissen um seine bereits an anderen Orten gestellten Asylgesuche  damit offensichtlich bezweckt, den drohenden Vollzug einer Wegweisung zu vermeiden. Insofern ist auch Art. 76a Abs. 2 lit. f AIG einschlägig.</w:t>
      </w:r>
    </w:p>
    <w:p>
      <w:r>
        <w:t>2.2.3Nach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und trotz schengenweiten Einreiseverbots  wie vor dem Migrationsamt angegeben nach Deutschland reisen würde und damit für die Behörden nicht mehr greifbar wäre.</w:t>
      </w:r>
    </w:p>
    <w:p>
      <w:r>
        <w:t>2.3Es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Deutschland (oder ein anderes Land in Europa) zu missbrauchen sehr hoch. Eine regelmässige Meldepflicht könnte den offensichtlich hochmobilen Beurteilten kaum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2.5Anhaltspunkte,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9. August 2025 auch zu Protokoll gegeben hat, dass es ihm gesundheitlich gut gehe. Auch ist die Anordnung der Vorbereitungshaft für die maximal mögliche Dauer von sieben Wochen (Art. 76a Abs. 3 lit. a AIG) nicht zu beanstanden (bei der Datumsangabe in der Verfügung vom 9. August 2025 [20. September 2025] handelt es sich um ein offensichtliches Versehen, was sich unmittelbar aus der Begründung der Verfügung ergibt und der zuständige Mitarbeiter des Migrationsamts gegenüber dem Haftrichter im Übrigen bestätigt hat), da zunächst die Zuständigkeit des Rückübernahmestaates (mutmasslich Deutschland, Österreich oder Italien) zu prüfen ist und das Staatssekretariat für Migration (SEM) anschliessend die Wegweisung verfügen muss. Der Beurteilte wird jedoch auf die Möglichkeit eines Haftentlassungsgesuchs hingewiesen. Das Dublin-Verfahren (Kategorie I) wurde am 9. August 2025 durch das Migrationsamt umgehend in die Wege geleitet, um dem Beschleunigungsgebot Rechnung zu tragen. Das Migrationsamt ist jedoch gehalten, dieses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9. August 2025 bis zum 26. September 2025, rechtmässig und angemessen.</w:t>
      </w:r>
    </w:p>
    <w:p>
      <w:r>
        <w:t>Es werden keine Kosten erhoben.</w:t>
      </w:r>
    </w:p>
    <w:p>
      <w:r>
        <w:t>Der Entscheid ist A____ in einer für ihn verständlichen Sprache durch das Migrationsamt zu eröffnen.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