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AUS.2025.69 vom 20. Juni 2025</w:t>
      </w:r>
    </w:p>
    <w:p>
      <w:r>
        <w:t>BS Appellationsgericht, 2025-06-20, DE</w:t>
      </w:r>
    </w:p>
    <w:p>
      <w:r>
        <w:rPr>
          <w:b/>
        </w:rPr>
        <w:t xml:space="preserve">Quelle: </w:t>
      </w:r>
      <w:r>
        <w:t>https://mcp.opencaselaw.ch/entscheid/bs_appellationsgericht_AUS.2025.69</w:t>
      </w:r>
    </w:p>
    <w:p>
      <w:r>
        <w:t>FR: BS_APPELLATIONSGERICHT AUS.2025.69 du 20 juin 2025</w:t>
      </w:r>
    </w:p>
    <w:p>
      <w:r>
        <w:t>IT: BS_APPELLATIONSGERICHT AUS.2025.69 del 20 giugno 2025</w:t>
      </w:r>
    </w:p>
    <w:p>
      <w:pPr>
        <w:pStyle w:val="Heading2"/>
      </w:pPr>
      <w:r>
        <w:t>Erwägungen</w:t>
      </w:r>
    </w:p>
    <w:p>
      <w:r>
        <w:rPr>
          <w:b/>
        </w:rPr>
        <w:t>E. 1</w:t>
      </w:r>
    </w:p>
    <w:p>
      <w:r>
        <w:t>1.1Gemäss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mit der Haftanordnungsverfügung vom 18. Juni 2025 mehr als drei Monate aufgrund ausländerrechtlicher Motive inhaftiert sein. Aufgrund der Qualifikation der Administrativhaft als einschneidenster Zwangsmassnahme und der nicht kurzen Zeitspanne seiner Inhaftierung, ist A____  gemäss Verfügung vom 19. Juni 2025  für das Verfahren vor dem Haftgericht mit MLaw Benjamin Appius eine unentgeltliche Rechtsvertretung an die Hand zu geben.</w:t>
      </w:r>
    </w:p>
    <w:p>
      <w:r>
        <w:rPr>
          <w:b/>
        </w:rPr>
        <w:t>E. 2.1</w:t>
      </w:r>
    </w:p>
    <w:p>
      <w:r>
        <w:t>2.1.1Nach den gesetzlichen Vorschriften kann ein Ausländer zur Sicherstellung eines erstinstanzlichen Wegweisungsentscheids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2.1.2Dem Beurteilten wurden in der Vergangenheit bereits zwei Ausreisefristen gesetzt (fünf Tage nach Rechtskraft des Asylentscheids; 29. Februar 2020), die er jedoch unbenutzt verstreichen liess. Zudem ist er nach Rechtskraft des Entscheids des JSD vom 29. Oktober 2019 untergetaucht, hat er sich doch wochenlang nicht mehr bei der Sozialhilfe gemeldet, sodass der Dauerauftrag für die Miete eingestellt worden ist. Darüber hinaus hat er sich bis anhin beharrlich geweigert, seiner Mitwirkungspflicht bei der Papierbeschaffung nachzukommen. Er wurde bereits im Asylverfahren und dann auch nach dem diesbezüglichen Entscheid im Jahr 2013 das erste Mal aufgefordert, seine ID-Karte beizubringen. Fakt ist jedoch, dass der Beurteilte bis heute keinerlei Papiere beigebracht hat. Erstaunlicherweise war es ihm  als es ihm im Rahmen der Heirat im Jahr 2015 einen Nutzen einbrachte  möglich, einen (abgelaufenen) Reisepass beizubringen bzw. bei den algerischen Behörden vorzusprechen und die Verlängerung seines Reisepasses zu erwirken. Dazumals war er auch in der Lage, den Behörden eine schriftliche Bestätigung der algerischen Behörden betreffend den Verlängerungsvorgang einzureichen. Eine solche Bestätigung hat der Beurteilte in der jüngeren Vergangenheit  trotz mehrfacher und unzweideutiger Aufforderungen des Migrationsamts  jedoch nicht beigebracht. Insofern überzeugt nicht, wenn er angibt, er habe den algerischen Generalkonsul in Genf aufgesucht und ein Laissez-passer (LP) beantragt, zumal ein solches nie beim Migrationsamt einging und Letzteres den bereits gebuchten Flug (auf freiwilliger Basis) stornieren musste. Selbst wenn der Beurteilte tatsächlich bei den algerischen Behörden vorgesprochen hätte (dass die algerischen Behörden eine Bestätigung für einen Aufenthalt in der Schweiz verlangt hätten, kann bei korrekter Information über den Grund für die Ausstellung des LP ausgeschlossen werden), wäre mit an Sicherheit grenzender Wahrscheinlichkeit ein LP ausgestellt worden, hätte der Beurteilte seinen Heimatbehörden pflichtgemäss mitgeteilt, dass er gestützt auf ein rechtsstaatliches Verfahren verpflichtet sei, die Schweiz zu verlassen (die Angabe gegenüber dem Migrationsamt, dass er mit dem Generalkonsulat über das Besuchsrecht betreffend seine Tochter gesprochen und angegeben habe, seine Tochter zu vermissen bzw. das angebliche Verlangen für eine Bestätigung für einen Aufenthalt in der Schweiz, lässt Gegenteiliges vermuten). Die vorgebrachte Erklärung des Beurteilten, wonach er den Reisepass bei einem Kollegen in Frankreich gelassen habe, von dem er weder Telefonnummer noch Adresse besitze und mit dem er schon lange keinen Kontakt mehr habe, ist mit dem Migrationsamt nur schon aufgrund der Höchstpersönlichkeit des Dokuments als Schutzbehauptung zurückzuweisen.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Wenn der Beurteilte vorbringt (auch heute), er sei nur bereit, zusammen mit seiner Tochter nach Algerien auszureisen, ist darauf hinzuweisen, dass er weder das Sorge- noch das Obhutsrecht betreffend seine Tochter inne hat und diese seit mehreren Jahren nicht mehr gesehen hat bzw. sich das JSD in seinen beiden Entscheiden im Detail mit dem Anspruch auf Familienleben auseinandergesetzt und eine Verletzung von Art. 8 EMRK verneint hat. Darauf ist nicht zurückzukommen (vgl. dazu E. 3.2). Die Behauptung illustriert vielmehr eindrücklich, dass der Beurteilte unter keinen Umständen bereit ist, die Schweiz zu verlassen. Insofern muss befürchtet werden, dass er  insbesondere da er nun weiss, dass seine Rückschaffung unmittelbar bevorsteht  untertauchen und daher für die Behörden nicht mehr greifbar wäre. Die bereits seit einiger Zeit vorgetragene Behauptung, dass er sich neuerlich in einem Heiratsverfahren befinden soll, ist ohne einen einzigen Beleg geblieben und anlässlich der heutigen Verhandlung auch nicht spontan vorgebracht worden, sodass es sich um eine weitere, der Täuschung der Behörden dienende Behauptung handeln dürfte. Auch dies unterstreicht die Untertauchensgefahr.</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2.2.2Der durch den Beurteilten mehrfach verwirklichte Straftatbestand des Diebstahls (Art. 139 Ziff. 1 StGB) stellt ein Verbrechen im Sinne von Art. 10 Abs. 2 StGB dar, weswegen auch Art. 75 Abs. 1 lit. h AIG einschlägig ist. Dass die Schuldsprüche wegen Diebstahls mittlerweile nicht mehr im Strafregister ersichtlich sind, schadet entgegen der Ansicht des Beurteilten nicht (vgl. dazu BGer 2C.477/2008 vom 24. Februar 2009 E. 3.2, 2C.148/2009 vom 6. November 2009 E. 2.3;Arnold/Gruber, in: Basler Kommentar, 4. Auflage 2019, Art. 369 StGB N 11).</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3.2Das Migrationsamt wandte über Jahre hinweg eine mildere Massnahme im Sinne einer Meldepflicht an. Indes konnte diese den Beurteilten nicht motivieren, bei der (nicht in seinem Belieben stehenden) Papierbeschaffung mitzuwirken, wobei er die Meldetermine ohnehin oft verspätet oder zufolge Krankheit unentschuldigt gar nicht wahrnahm. Insofern war die Massnahme zur Sicherung des Vollzugs der Wegweisungsentscheide  wie man heute weiss  ungeeignet, sodass sie nicht erneut angeordnet werden kann und eine Inhaftierung das einzige Mittel darstellt, mit dem der Vollzug der Wegweisungen sichergestellt werden kann, zumal mangels Vorhandenseins auch kein Reisepass beim Migrationsamt hinterlegt werden könnte. Das auch aufgrund der bestehenden Verlustscheine (im Umfang von CHF 11'000.) und des beträchtlichen Sozialhilfesaldos (CHF 210'000. für die Zeit, als er mit seiner Ex-Frau und der gemeinsamen Tochter zusammenwohnte und CHF 166'000., als er alleine wohnte) als gross einzustufende öffentliche Interesse an der Sicherstellung der Wegweisungen überwiegt dasjenige des Beurteilten an seiner persönlichen Freiheit, zumal dem Beurteilten Zwangsmassnahmen mehrfach angedroht wurden, er aufgrund seiner Delinquenz als Gefahr für die öffentliche Sicherheit bezeichnet werden muss und mit Hinweis auf den überzeugenden Entscheid des JSD vom 30. September 2024 auch aufgrund der nicht gelebten Vaterschaft zu C____ nichts zu seinen Gunsten ableiten kann. Auf Letzteres ist im vorliegenden Verfahren mangels Kognition des Haftrichters nicht zurückzukommen (vgl. dazuJucker, a.a.O., Art. 80 N 17). Im Übrigen ist seine medizinische Versorgung im Gefängnis Bässlergut sichergestellt. Eine Rückkehr nach Algerien mit der Tochter steht nach dem Gesagten offensichtlich nicht zur Diskussion. Auch wahrten die Schweizer Behörden das Beschleunigungsgebot, ist das Verfahren doch trotz vollständiger Passivität des Beurteilten bei der Papierbeschaffung im Rahmen der verfügbaren Möglichkeiten mit Augenmass zügig vorangetrieben worden.</w:t>
      </w:r>
    </w:p>
    <w:p>
      <w:r>
        <w:t>3.3Dass eine Rückführung nach Algerien tatsächlich möglich ist, ergibt sich nur schon aus der Tatsache, dass täglich Linienflüge nach Algier verkehren (ab Basel, teilweise mit Zwischenlandung). Auch ergeben sich mit Hinweis auf den Asylentscheid vom 28. November 2012 und die Tatsache, dass der Beurteilte beim Migrationsamt mehrfach Rückkehrvisa für Heimatbesuche beantragt hat,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Zwar ist der Beurteilte bereits im Juli 2014 als algerischer Staatsangehöriger identifiziert worden. Indes muss er als nicht freiwillig Zurückkehrender noch an einem noch nicht terminierten Counselling-Gespräch mit den Heimatbehörden teilnehmen (angemeldet ist er hierfür bereits seit März 2025). Wie das Migrationsamt nachvollziehbar dargelegt hat, ist frühestens im August 2025 mit einem Counselling-Termin zu rechnen und nach zwei weiteren Monaten mit einer Antwort der algerischen Behörden, wobei dann noch eine Vorlaufzeit von mindestens 30 Tagen für die Flugbuchung und eine kurze zeitliche Reserve einberechnet werden muss, weshalb die vom Migrationsamt für die Dauer von sechs Monaten angeordnete Haft angemessen erscheint, zumal der Beurteilte bereits in der Haftanordnung unentgeltlich verbeiständet wurde (vgl. dazu E. 1.2, 4.2) und auch in der heutigen Haftverhandlung trotz mehrfacher Thematisierung keinerlei das Verfahren beschleunigende Kooperationsansätze ersichtlich wurden. Der Beurteilte hat es  wie in der heutigen Verhandlung mehrfach mit Nachdruck angetönt  in der Hand, seine Zeit in Haft massiv zu verkürzen, indem er mit den Heimatbehörden kooperiert und zu verstehen gibt, (gestützt auf ein rechtsstaatliches Verfahren durchlaufene Entscheidungen) freiwillig ausreisen zu wollen. Diesfalls könnte die Rückkehr in die Heimat innerhalb weniger Wochen umgesetzt werden.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4.2Dem Beurteilten wurde mit Verfügung vom 19. Juni 2025 die unentgeltliche Verbeiständung bewilligt (vgl. dazu auch E. 1.2). MLaw Benjamin Appius ist im Rahmen der unentgeltlichen Verbeiständung aus der Gerichtskasse zu entschädigen, wobei für die Bemessung des Aufwands ohne weiteres auf seine Honorarnote vom 20. Juni 2025 abgestellt werden kann. Für die Haftverhandlung werden zusätzlich zwei Stunden entschädigt. Für den genauen Betrag der Entschädigung wird auf das Dispositiv verwiesen.</w:t>
      </w:r>
    </w:p>
    <w:p>
      <w:r>
        <w:t>Demgemäss erkenntder Einzelrichter:</w:t>
      </w:r>
    </w:p>
    <w:p>
      <w:r>
        <w:t>://:        Die über A____ angeordnete Ausschaffungshaft ist für die Dauer von sechs Monaten, das heisst bis zum 16. Dezember 2025, rechtmässig und angemessen.</w:t>
      </w:r>
    </w:p>
    <w:p>
      <w:r>
        <w:t>Es werden keine Kosten erhoben.</w:t>
      </w:r>
    </w:p>
    <w:p>
      <w:r>
        <w:t>Dem unentgeltlichen Rechtsvertreter, MLaw Benjamin Appius, wird ein Honorar von CHF 1200., zuzüglich Auslagen in Höhe von CHF 36. und 8.1 % Mehrwertsteuer, insgesamt also CHF 1336.10,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