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AUS.2025.60 vom 5. Juni 2025</w:t>
      </w:r>
    </w:p>
    <w:p>
      <w:r>
        <w:t>BS Appellationsgericht, 2025-06-05, DE</w:t>
      </w:r>
    </w:p>
    <w:p>
      <w:r>
        <w:rPr>
          <w:b/>
        </w:rPr>
        <w:t xml:space="preserve">Quelle: </w:t>
      </w:r>
      <w:r>
        <w:t>https://mcp.opencaselaw.ch/entscheid/bs_appellationsgericht_AUS.2025.60</w:t>
      </w:r>
    </w:p>
    <w:p>
      <w:r>
        <w:t>FR: BS_APPELLATIONSGERICHT AUS.2025.60 du 5 juin 2025</w:t>
      </w:r>
    </w:p>
    <w:p>
      <w:r>
        <w:t>IT: BS_APPELLATIONSGERICHT AUS.2025.60 del 5 giugno 2025</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2.3Wie sich aus der Sachverhaltsdarstellung ergibt, wurde der Beurteilte rechtskräftig mitunter wegen mehrfacher Missachtung der Ein- oder Ausgrenzung nach Art. 119 AIG schuldig gesprochen. Der entsprechende Haftgrund ist damit erfüllt.</w:t>
      </w:r>
    </w:p>
    <w:p>
      <w:r>
        <w:t>2.4Wie sich ebenfalls aus der Sachverhaltsdarstellung ergibt, wurde A____ wegen gewerbsmässigen Diebstahls (Art. 139 Ziff. 2 des Strafgesetzbuches [StGB, SR 311.0]) und Hehlerei (Art. 160 Ziff. 1 StGB), mithin beides Verbrechens im Sinne von Art. 10 Abs. 2 StGB, rechtskräftig verurteilt, womit auch der Haftgrund von Art. 76 Abs. 1 lit. b Ziff. 1 in Verbindung mit Art. 75 Abs. 1 lit. h AIG erfüllt ist.</w:t>
      </w:r>
    </w:p>
    <w:p>
      <w:r>
        <w:t>2.5Wie bereits in den Urteilen vom 26. Oktober 2018 (VGE AUS.2018.87), vom 16. November 2018 (VGE AUS.2018.100), vom 6. Juli 2023 (VGE AUS.2023.32), vom 11. März 2024 (VGE AUS.2024.16) und vom 15. Mai 2025 (VGE AUS.2025.52) festgestellt wurde, liegt auch Untertauchensgefahr vor: Der mitunter wegen Gewaltdelikten schuldig gesprochene A____ tauchte im Jahr 2016 zweimal nach Stellung eines Asylgesuchs in der Schweiz unter, benutzte in der Vergangenheit diverse Aliasidentitäten, wobei er unter anderem auch behauptete, Libyer zu sein, und machte widersprüchliche Angaben zum Verbleib seiner Identitätspapiere. Aufgrund der Tatsache, dass Frau und Tochter im grenznahen Ausland leben bzw. das eigentliche Motiv der Rückkehr nach Europa darstellen, liegt auf der Hand, dass er bei einer Haftentlassung sofort zu ihnen nach Frankreich zurückkehren würde und eine kontrollierte Übergabe an die französischen Behörden dergestalt verhindern würde, zumal er gegenüber dem Migrationsamt am 12. Mai 2025 ausgeführt hat, er brauche eine Stunde, um die Schweiz zu verlassen. Kommt dazu, dass auf der Übernahmebestätigung der französischen Behörden darüber informiert wird, dass der Beurteilte wegen eines Vorkommnisses vom 26. April 2025 («Gewalt mit Waffen») angezeigt werden wird und seinerseits daher ein Interesse besteht, sich der im Raum stehenden Strafuntersuchung zu entziehen und eine geordnete Übergabe deshalb zu verhindern. Ferner hat der Beurteilte mit dem erneuten Aufenthalt in der Schweiz (trotz zwei mehrjährigen Landesverweisen) eindrücklich gezeigt, dass er nicht gewillt ist, sich an behörderliche Anordnungen zu halten. Im Übrigen hat der Beurteilte im Februar und April 2025 in Basel erneut gestohlen und führte am 5. Mai 2025 anlässlich seiner Anhaltung eine totalgefälschte belgische Identitätskarte mit sich (lautend auf [...], geboren am [...]), auf der sein Foto abgebildet war (im Übrigen stimmt auch der Geburtstag mit demjenigen des Beurteilten überein), was nach dem vorstehend Erwogenen ebenfalls ein Indiz für Untertauchensgefahr darstellt. Untertauchensgefahr ist damit auch aufgrund der neusten Entwicklungen offensichtlich gegeben.</w:t>
      </w:r>
    </w:p>
    <w:p>
      <w:r>
        <w:rPr>
          <w:b/>
        </w:rPr>
        <w:t>E. 3</w:t>
      </w:r>
    </w:p>
    <w:p>
      <w:r>
        <w:t>3.1Die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einschlägigen Vorstrafe ist auszuschliessen, dass sich der Beurteilte an eine Ein- oder Ausgrenzung (Art. 74 AIG) im Sinne einer milderen Massnahme halten würde, sodass eine Inhaftierung das einzige Mittel darstellt, mit dem der Vollzug nach Frankreich sichergestellt werden kann, zumal nach dem vorstehend Erwogenen eine ausgeprägte Untertauchensgefahr besteht, mangels Vorhandenseins auch kein Reisepass beim Migrationsamt hinterlegt werden könnte und der Beurteilte zudem eine Gefahr für die öffentliche Ordnung und Sicherheit darstellt. Auch steht die Überstellung nach Frankreich kurz bevor, sodass die privaten Interessen des Beurteilten (Frau und Kind in Frankreich, nahende Geburt eines weiteren Kindes) das als gross einzustufende öffentliche Interesse an der Sicherstellung der beiden Landesverweisungen nicht zu überwiegen vermögen. Dass eine Rückführung nach Frankreich tatsächlich möglich ist, steht ausser Frage. Auch ergeben sich keine Anhaltspunkte dafür, dass dem Beurteilten bei einer Rückkehr dorthin  auch wenn aufgrund der vorstehend aufgeführten Tatsachen ein Strafverfahren eröffnet würde  mit beachtlicher Wahrscheinlichkeit eine durch Art. 3 der Europäischen Menschenrechtskonvention (EMRK, SR 0.101) verbotene Strafe oder Behandlung droht. Zudem sprechen weder die in Frankreich herrschende politische Situation noch andere Gründe gegen die Zumutbarkeit der Rückführung dorthin.</w:t>
      </w:r>
    </w:p>
    <w:p>
      <w:r>
        <w:rPr>
          <w:b/>
        </w:rPr>
        <w:t>E. 4</w:t>
      </w:r>
    </w:p>
    <w:p>
      <w:r>
        <w:t>4.1Nach dem Gesagten erweist sich die Haft für zehn Tage als notwendig und verhältnismässig, weshalb sie zu bestätigen ist. Das vorliegende Verfahren ist kostenlos (§ 4 Abs. 1 des Gesetzes über den Vollzug der Zwangsmassnahmen im Ausländerrecht).</w:t>
      </w:r>
    </w:p>
    <w:p>
      <w:r>
        <w:t>4.2Dem Beurteilten wurde mit Verfügung vom 4. Juni 2025 die unentgeltliche Verbeiständung bewilligt. MLaw Elena Liechti ist im Rahmen der unentgeltlichen Verbeiständung aus der Gerichtskasse zu entschädigen, wobei für die Bemessung des Aufwands ohne weiteres auf die eingereichte Honorarnote abgestellt werden kann (zuzüglich 45 Minuten Aufwand für die heutige Verhandlung; der Stundenansatz im Rahmen der unentgeltlichen Rechtsvertretungen beträgt gemäss § 20 Abs. 2 des Honorarreglements [HoR, SG 291.400] CHF 200.). Für den genauen Betrag der Entschädigung wird auf das Dispositiv verwiesen.</w:t>
      </w:r>
    </w:p>
    <w:p>
      <w:r>
        <w:t>Demgemäss erkenntder Einzelrichter:</w:t>
      </w:r>
    </w:p>
    <w:p>
      <w:r>
        <w:t>://:        Die über A____ angeordnete Ausschaffungshaft ist für die Dauer von zehn Tagen, bis zum 13. Juni 2025, rechtmässig und angemessen.</w:t>
      </w:r>
    </w:p>
    <w:p>
      <w:r>
        <w:t>Es werden keine Kosten erhoben.</w:t>
      </w:r>
    </w:p>
    <w:p>
      <w:r>
        <w:t>Der unentgeltlichen Rechtsvertreterin, MLaw Elena Liechti, wird ein Honorar von CHF 1150.,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