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 vom 13. April 2017</w:t>
      </w:r>
    </w:p>
    <w:p>
      <w:r>
        <w:t>BS Appellationsgericht, 2017-04-13, DE</w:t>
      </w:r>
    </w:p>
    <w:p>
      <w:r>
        <w:rPr>
          <w:b/>
        </w:rPr>
        <w:t xml:space="preserve">Quelle: </w:t>
      </w:r>
      <w:r>
        <w:t>https://mcp.opencaselaw.ch/entscheid/bs_appellationsgericht_AUS.2025.4</w:t>
      </w:r>
    </w:p>
    <w:p>
      <w:r>
        <w:t>FR: BS_APPELLATIONSGERICHT AUS.2025.4 du 13 avril 2017</w:t>
      </w:r>
    </w:p>
    <w:p>
      <w:r>
        <w:t>IT: BS_APPELLATIONSGERICHT AUS.2025.4 del 13 aprile 2017</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Landesverweisungen vor: Mit Urteil vom 20. Oktober 2020 verwies ihn das Strafgericht Basel-Stadt für drei Jahre des Landes (bestätigt vom Appellationsgericht mit Urteil vom 19. Dezember 2022). Am 17. März 2022 verurteilte das Strafgericht den Beurteilten zu einer Landesverweisung von acht Jahren.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insbesondere dann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w:t>
      </w:r>
    </w:p>
    <w:p>
      <w:r>
        <w:rPr>
          <w:b/>
        </w:rPr>
        <w:t>E. 3.3</w:t>
      </w:r>
    </w:p>
    <w:p>
      <w:r>
        <w:t>3.3.1Das Migrationsamt hat die Haftanordnung auch mit der Untertauchensgefahr begründet (Art. 76 Abs. 1 lit. b Ziff. 3 und</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der vorstehenden Ausführungen wie auch der einschlägigen Vorstrafen ist auszuschliessen, dass sich der Beurteilte an eine Ein- oder Ausgrenzung (Art. 74 AIG) im Sinne einer milderen Massnahme halten würde, sodass eine Inhaftierung das einzige Mittel darstellt, mit dem der Vollzug der beiden Landesverweisungen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Landesverweisungen überwiegt dasjenige des Beurteilten an seiner persönlichen Freiheit bei weitem, zumal der Beurteilte auch eine Gefahr für die öffentliche Sicherheit darstellt.</w:t>
      </w:r>
    </w:p>
    <w:p>
      <w:r>
        <w:t>Eine Rückführung nach Algerien ist ohne Weiteres möglich, wie die Ausschaffung des Beurteilten in seine Heimat im August 2023 bereits gezeigt hat. Unverändert gibt es Linienflüge ab Basel bzw. aus der Schweiz nach Algier. Der Beurteilte wurde damals als algerischer Staatsangehöriger anerkannt. Am 18. Dezember 2024 hat er am obligatorischen Counselling mit Vertretern der algerischen Botschaft teilgenommen. Die Ausstellung eines Laissez Passer ist in absehbarer Zeit zu erwarten, zumal die algerischen Behörden im Sommer 2023 schon einmal ein Laissez Passer für den Beurteilten ausgestellt haben. Eine Flugbuchung wird dann innert kurzer Zeit erfolgen können. Es liegen keine Hinweise vor,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w:t>
      </w:r>
    </w:p>
    <w:p>
      <w:r>
        <w:t>Wie oben unter E. 3.5 ausgeführt ist Stand heute mit einem baldigen Vorliegen des Asylentscheids zu rechnen. Angesichts dessen, dass zum heutigen Zeitpunkt noch nicht gesagt werden kann, wann genau der Asylentscheid und die notwendigen Reisedokumente vorliegen werden, ist die Anordnung der Ausschaffungshaft für drei Monate nicht zu beanstanden, zumal auch eine Reservefrist für den Fall unvorhergesehener Verzögerungen miteinzuberechnen ist. Die Behörden sind in jedem Fall aber gehalten, ihre Bemühungen, den Beurteilten auszuschaffen, voranzutreiben und für eine beförderliche Behandlung des Asylgesuchs zu sorgen.</w:t>
      </w:r>
    </w:p>
    <w:p>
      <w:r>
        <w:t>4.3Der Beurteilte lässt eine Verletzung des Beschleunigungsgebots geltend machen. Das Bundesgericht hat hierzu im Entscheid BGE 139 I 206 E. 2.1 Folgendes festgehalten: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Der Beurteilte beruft sich darauf, dass das obligatorische Counselling (Ausreisegespräch mit den algerischen Behörden) erst am 18. Dezember 2024 und damit rund drei Monate nach seiner Inhaftierung angesetzt worden sei, was gegen das Beschleunigungsgebot verstosse. Wie den Akten entnommen werden kann, hat das Migrationsamt bereits am 18. September 2024 beim SEM einen Antrag auf Identifikation des Beurteilten und Papierbeschaffung gestellt. Das SEM hat daraufhin sofort die nötigen Schritte eingeleitet. Entsprechend konnte der Beurteilte bereits am 18. Dezember 2024 zum Counselling-Gespräch, welche derzeit im monatlichen Rhythmus stattfinden (E-Mail SEM vom 18. September 2024), aufgeboten werden. Angesichts dessen, dass pro Termin nur eine beschränkte Anzahl von Personen an diesen Gesprächen teilnehmen können und dass derzeit bekanntermassen viele Algerier für die Teilnahme an diesen Gesprächen vorgesehen sind, ist dies als ausgesprochen rasch anzusehen. Der Fall des Beurteilten wurde infolge seiner Inhaftierung offensichtlich prioritär behandelt. Eine Verletzung des Beschleunigungsverbots liegt augenscheinlich nicht vor.</w:t>
      </w:r>
    </w:p>
    <w:p>
      <w:r>
        <w:rPr>
          <w:b/>
        </w:rPr>
        <w:t>E. 5</w:t>
      </w:r>
    </w:p>
    <w:p>
      <w:r>
        <w:t>5.1Nach dem Gesagten erweist sich die Haft als notwendig und verhältnismässig, weshalb sie zu bestätigen ist. Das vorliegende Verfahren ist kostenlos (§ 4 Abs. 1 des Gesetzes über den Vollzug der Zwangsmassnahmen im Ausländerrecht).</w:t>
      </w:r>
    </w:p>
    <w:p>
      <w:r>
        <w:t>5.2Der Beurteilte hat am 15. Januar 2025 um unentgeltliche Verbeiständung ersucht. 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Die heute zu beurteilende Ausschaffungshaft ist für die Dauer von drei Monaten angeordnet worden, was nach der dargelegten bundesgerichtlichen Praxis nur bei Vorliegen rechtlicher und tatsächlicher Schwierigkeiten zur Beigabe einer unentgeltlichen Rechtsvertretung führen würde. Der Beurteile wurde aber schon am 20. September 2025 ein erstes Mal in Ausschaffungshaft genommen, bevor er am 16. Oktober 2025 zwecks Verbüssung einer Freiheitsstrafe von 90 Tagen wegen Ver-weisungsbruch in den Strafvollzug versetzt wurde. Unter Hinzurechnung der bereits abgessenen Ausschaffungshaft vom 20. September 2025 bis zum 16. Oktober 2025 überschreitet die vorliegend für drei Monate angeordnete Ausschaffungshaft die Grenze von drei Monate, ab welcher dem Beurteilten eine schwere Freiheitsbeschränkung droht. Demzufolge ist ihm die unentgeltliche Verbeiständung zu gewähren und ist sein Rechtsvertreter für seine Bemühungen zu entschädigen. Bei einem ausgewiesenen Aufwand von insgesamt 5.75 Stunden à CHF 200. ergibt sich eine Entschädigung des unentgeltlichen Rechtsbeistands von CHF 1'150. zuzüglich ausgewiesener Auslagen und MWST.</w:t>
      </w:r>
    </w:p>
    <w:p>
      <w:r>
        <w:t>Demgemäss erkenntder Einzelrichter:</w:t>
      </w:r>
    </w:p>
    <w:p>
      <w:r>
        <w:t>://:        A____ wird die unentgeltliche Verbeiständung mit Advokat [...] bewilligt.</w:t>
      </w:r>
    </w:p>
    <w:p>
      <w:r>
        <w:t>Die über A____ angeordnete Ausschaffungshaft ist für die Dauer von drei Monaten, d.h. bis zum 13. April 2025, rechtmässig und angemessen.</w:t>
      </w:r>
    </w:p>
    <w:p>
      <w:r>
        <w:t>Es werden keine Kosten erhoben.</w:t>
      </w:r>
    </w:p>
    <w:p>
      <w:r>
        <w:t>Dem unentgeltlichen Rechtsbeistand von A____, [...], wird ein Honorar von CHF 1'174. (einschliesslich Auslagen), zuzüglich 8,1 % MWST von CHF 95.10,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