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AUS.2025.25 vom 5. September 2024</w:t>
      </w:r>
    </w:p>
    <w:p>
      <w:r>
        <w:t>BS Appellationsgericht, 2024-09-05, DE</w:t>
      </w:r>
    </w:p>
    <w:p>
      <w:r>
        <w:rPr>
          <w:b/>
        </w:rPr>
        <w:t xml:space="preserve">Quelle: </w:t>
      </w:r>
      <w:r>
        <w:t>https://mcp.opencaselaw.ch/entscheid/bs_appellationsgericht_AUS.2025.25</w:t>
      </w:r>
    </w:p>
    <w:p>
      <w:r>
        <w:t>FR: BS_APPELLATIONSGERICHT AUS.2025.25 du 5 septembre 2024</w:t>
      </w:r>
    </w:p>
    <w:p>
      <w:r>
        <w:t>IT: BS_APPELLATIONSGERICHT AUS.2025.25 del 5 settembre 2024</w:t>
      </w:r>
    </w:p>
    <w:p>
      <w:pPr>
        <w:pStyle w:val="Heading2"/>
      </w:pPr>
      <w:r>
        <w:t>Erwägungen</w:t>
      </w:r>
    </w:p>
    <w:p>
      <w:r>
        <w:rPr>
          <w:b/>
        </w:rPr>
        <w:t>E. 1</w:t>
      </w:r>
    </w:p>
    <w:p>
      <w:r>
        <w:t>Gemäss Art. 80 Abs. 2 des Ausländer- und Integrationsgesetzes (AIG, SR 142.20) sind die Rechtmässigkeit und die Angemessenheit der Haft spätestens nach 96 Stun-den durch eine richterliche Behörde aufgrund einer mündlichen Verhandlung zu 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Das SEM hat den Beurteilten mit seinem Entscheid, auf dessen Asylgesuch nicht einzutreten, auch aus der Schweiz weggewiesen. Dieser Entscheid ist mangels Anfechtung rechtskräftig. Der Beurteilte ist mit Urteil des Strafgerichts vom 19. November 2024 darüber hinaus auch rechtskräftig für fünf Jahres des Landes verwiesen worden.</w:t>
      </w:r>
    </w:p>
    <w:p>
      <w:r>
        <w:rPr>
          <w:b/>
        </w:rPr>
        <w:t>E. 3</w:t>
      </w:r>
    </w:p>
    <w:p>
      <w:r>
        <w:t>Das Migrationsamt stützt die Ausschaffungshaft auf mehrere Haftgründe ab.</w:t>
      </w:r>
    </w:p>
    <w:p>
      <w:r>
        <w:t>3.1Das Migrationsamt begründet die Ausschaffungshaft zunächst mit der Verurteilung des Beurteilten zu einem Verbrechen (Art. 76 Abs. 1 lit. b in Verbindung Art. 75 Abs. 1 lit. h AIG). Der Beurteilte wurde mit Urteil des Strafgerichts vom 19. November 2024 wegen zahlreicher Gesetzesverstössen, unter anderem wegen versuchten Raubs und einfachen Diebstahls (mehrfache Begehung), zu einer Freiheitsstrafe von 12 Monaten und einer Busse von CHF 600. rechtskräftig verurteilt. Unter Verbrechen im Sinne von Art. 75 Abs. 1 lit. h AIG sind Straftaten zu verstehen, die mit Freiheitsstrafe von mehr als drei Jahren bedroht sind (Art. 10 Abs. 2 StGB). Bei den erwähnten Straftatbeständen des Raubs (Art. 140 Ziff. 1 Abs. 1 StGB) und des einfachen Diebstahls (Art. 139 Ziff. 1 StGB) handelt es sich um Verbrechen im Sinne der genannten Bestimmung. Die betreffenden Strafbestimmungen halten eine Strafandrohung von bis zu zehn bzw. fünf Jahren bereit. Der erste vom Migrationsamt angeführte Haftgrund der (rechtskräftigen) Verurteilung wegen eines Verbrechens ist damit vorliegend erfüllt. Unerheblich ist, dass der Beurteilte bloss zu einer Freiheitsstrafe von 12 Monaten verurteilt worden ist. Denn massgebend ist allein die abstrakte Strafandrohung, nicht die tatsächlich verhängte Strafe (BGer 2C_260/2018 vom 9. April 2018 E. 4.3;Zünd, in: Spescha et al. [Hrsg.], Kommentar Migrationsrecht, 5. Auflage, Zürich 2019, Art. 75 AIG N 12).</w:t>
      </w:r>
    </w:p>
    <w:p>
      <w:r>
        <w:t>3.2Der Beurteilte wurde mit Urteil des Strafgerichts vom 19. November 2024 rechtskräftig auch wegen Missachtung einer Ein- oder Ausgrenzung nach Art. 119 Abs. 1 SIG verurteilt. Damit ist auch der zweite vom Migrationsamt genannte Haftgrund von Art. 76 Abs. 1 lit. b Ziff. 1 in Verbindung mit Art. 75 Abs. 1 lit. b AIG erfüllt.</w:t>
      </w:r>
    </w:p>
    <w:p>
      <w:r>
        <w:t>3.3Das Migrationsamt hat die Haftanordnung schliesslich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Der Beurteilte ist offensichtlich nicht bereit, sich an die gesetzlichen Vorschriften hierzulande und an behördliche Anordnungen zu halten. Nur wenige Tage nach seiner Einreise in die Schweiz am 30. Juni 2024 ist er zum ersten Mal strafrechtlich aufgefallen und wurde in Polizeigewahrsam genommen. Binnen Wochenfrist wurde er zwei weitere Male festgenommen, bevor er in Untersuchungshaft gesetzt und später wegen der verübten Delikte vom Strafgericht verurteilt wurde. Bei seiner ersten Festnahme wurde eine Eingrenzung auf das Gebiet rund um das Bundesempfangszentrum verfügt, die er in der Folge wiederholt nicht beachtete, was zu einer entsprechenden strafrechtlichen Verurteilung führte. Es besteht eine erhebliche Gefahr, dass der Beurteilte eine Freilassung dazu nutzen könnte, unterzutauchen und sich ins Ausland abzusetzen. In seiner Befragung vom 29. November 2024 gab er an, nicht nach Algerien zurückkehren zu wollen. Im Falle einer Haftentlassung würde er nach Italien oder Spanien gehen, wo er seine «halbe Familie» habe. Auch heute hat er ausgeführt, unter keinen Umständen in seine Heimat zurück zu wollen. Er wolle zu seinem Vater nach Spanien (Verhandlungsprotokoll, S. 3). Mangels gültigen Reisepapieren ist ihm jedoch eine Ausreise in eines dieser Länder auf legalem Weg nicht möglich, umso mehr als die ausgesprochene Landesverweisung im Schengener Informationssystem (SIS) eingetragen ist. Die Behauptung des Beurteilten, er verfüge in Spanien über einen Ausweis, der ihm das Reisen erlaube (Verhandlungsprotokoll, S. 3), ist unbelegt. Dass ihm damit auch der Grenzübertritt erlaubt ist, ist nicht denkbar, zumal er offensichtlich nicht über einen Asylstatus verfügt.</w:t>
      </w:r>
    </w:p>
    <w:p>
      <w:r>
        <w:t>Mit Schreiben vom 2. Dezember 2024 wandte sich der Beurteile an das Migrationsamt und erklärte, dass er den negativen Asylentscheid akzeptiere, bat aber darum, «auch zu akzeptieren, dass ich nach meinem entlassung 24 stunde brauche das Land zu verlassen». Heute hat er ungefragt mehrfach bekräftigt, dass er binnen weniger Stunden aus der Schweiz weg wäre, wenn man ihn freiliesse (Verhandlungsprotokoll, S. 4 ff.). Es ist offensichtlich, dass der Beurteilte die Freiheit nutzen würde, um sich dem Vollzug der Wegweisung bzw. Landesverweisung zu entziehen. Die Untertauchensgefahr ist im Übrigen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am 19. November 2024 wegen verschiedener Delikte vom Strafgericht zu einer Freiheitsstrafe von 12 Monaten verurteilt woden (oben E. 3.1). Der Beurteilte ist sodann auch seinen Mitwirkungspflichten nicht nachgekommen. Er hat sich nicht um die Beschaffung von Reisepapieren gekümmert oder sich in Kooperation mit dem Migrationsamt darum bemüht, sondern verweigert die Rückkehr in seine Heimat. Aufgrund all dieser Umstände ist auch der Haftgrund einer erheblichen Untertauchensgefahr im Sinne von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Ausschaffung des Beurteilten nach Algerien ist rechtlich und tatsächlich möglich. Das SEM ist in seinem Nichteintretensentscheid vom 5. September 2024 zum Schluss gekommen, dass sich aus den Akten keine Anhaltspunkte ergeben würden, dass ihm im Falle einer Rückkehr in seinen Heimatstaat mit beachtlicher Wahrscheinlichkeit eine durch Art. 3 EMRK verbotene Strafe oder Behandlung droht. Die allgemeine schlechte Wirtschaftslage in Algerien spricht nicht gegen den Vollzug der Wegweisung und der Landesverweisung und somit nicht gegen eine Ausschaffung dorthin, ebenso wenig dass dort keine Familie haben will. Die schweizerischen Migrationsbehörden haben in Beachtung des Beschleunigungsgebots, als der Beurteilte noch in Untersuchungshaft sass, ihre Bemühungen aufgenommen, ihn durch die algerischen Behörden identifizieren zu lassen. Am 26. November 2024 wurde er durch das algerische Generalkonsulat identifiziert (E-Mail SEM vom 29. November 2024). Der Beurteilte hat am 26. Februar 2025 am sog. Counseling (konsularisches Ausreisegespräch) teilgenommen. In der Regel ist mit etwa vier Wochen zu rechnen, bis der Entscheid der algerischen Behörden eingeht, dass für ihn, der über keine gültigen Reisepapiere verfügt, ein Laissez Passer ausgestellt werden kann. Sobald dieser Bescheid vorliegt, wird eine Flugbuchung mit einer Vorlaufzeit von 30 Tagen in Auftrag gegeben werden können. Wiederum gestützt hierauf wird das SEM bei den algerischen Behörden die Ausstellung des Laissez Passer beantragen können. Angesichts dieser Umstände sowie unter Einberechnung einer Reservefrist erscheint die angeordnete Haftdauer von drei Monaten für angemessen. Der Beurteilte hat es selber in der Hand, diesen Prozess zu beschleunigen, indem er mit den Behörden seines Herkunftslandes Kontakt aufnimmt und um Ausstellung eines Ersatzreisepapiers ersucht. Dies hat er aber auch heute abgelehnt (Verhandlungsprotokoll, S. 5). Eine mildere Massnahme als die Inhaftierung wie etwa eine Eingrenzung (Art. 74 AIG) wäre nicht zielführend. Der Beurteilte hat sich in der Vergangenheit, wie auch die entsprechende Verurteilung durch das Strafgericht am 19. November 2024 zeigt, nicht an derartige Eingrenzungen gehalten (oben E. 3.2). Eine Freilassung unter Auflagen kommt auch darum nicht in Frage, weil er bekundet hat, die Schweiz binnen weniger Stunden verlassen zu wollen, wenn er auf freien Fuss käme. Aufgrund der erheblichen Untertauchensgefahr (oben E. 3.3) ist die Ausschaffungshaft erforderlich, um die Wegweisung bzw. Landesverweisung sicherzustellen.</w:t>
      </w:r>
    </w:p>
    <w:p>
      <w:r>
        <w:rPr>
          <w:b/>
        </w:rPr>
        <w:t>E. 5</w:t>
      </w:r>
    </w:p>
    <w:p>
      <w:r>
        <w:t>Für das Verfahren werden keine Kosten erhoben (§ 4 des Gesetzes über den Vollzug der Zwangsmassnahmen im Ausländerrecht [SG 122.300]).</w:t>
      </w:r>
    </w:p>
    <w:p>
      <w:r>
        <w:t>Demgemäss erkenntder Einzelrichter:</w:t>
      </w:r>
    </w:p>
    <w:p>
      <w:r>
        <w:t>://:        Die über A___ bis zum 12. Juni 2025 angeordnete Ausschaffungshaft ist rechtmässig und angemessen.</w:t>
      </w:r>
    </w:p>
    <w:p>
      <w:r>
        <w:t>Es werden keine Kosten erhoben.</w:t>
      </w:r>
    </w:p>
    <w:p>
      <w:r>
        <w:t>Mitteilung an:</w:t>
      </w:r>
    </w:p>
    <w:p>
      <w:r>
        <w:t>-     A___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