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AUS.2025.17 vom 26. Juli 2017</w:t>
      </w:r>
    </w:p>
    <w:p>
      <w:r>
        <w:t>BS Appellationsgericht, 2017-07-26, DE</w:t>
      </w:r>
    </w:p>
    <w:p>
      <w:r>
        <w:rPr>
          <w:b/>
        </w:rPr>
        <w:t xml:space="preserve">Quelle: </w:t>
      </w:r>
      <w:r>
        <w:t>https://mcp.opencaselaw.ch/entscheid/bs_appellationsgericht_AUS.2025.17</w:t>
      </w:r>
    </w:p>
    <w:p>
      <w:r>
        <w:t>FR: BS_APPELLATIONSGERICHT AUS.2025.17 du 26 juillet 2017</w:t>
      </w:r>
    </w:p>
    <w:p>
      <w:r>
        <w:t>IT: BS_APPELLATIONSGERICHT AUS.2025.17 del 26 luglio 2017</w:t>
      </w:r>
    </w:p>
    <w:p>
      <w:pPr>
        <w:pStyle w:val="Heading2"/>
      </w:pPr>
      <w:r>
        <w:t>Erwägungen</w:t>
      </w:r>
    </w:p>
    <w:p>
      <w:r>
        <w:rPr>
          <w:b/>
        </w:rPr>
        <w:t>E. 1</w:t>
      </w:r>
    </w:p>
    <w:p>
      <w:r>
        <w:t>Gemäss Art. 80 Abs. 2 des Ausländer- und Integrationsgesetzes (AIG, SR 142.20)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2.2Das SEM hat den Beurteilten am 24. Februar 2020 rechtskräftig aus der Schweiz weggewiesen, womit ein erstinstanzlicher Wegweisungsentscheid vorliegt. Der Beurteilte hat bis anhin  mitunter auch in der heutigen Verhandlung  eine freiwillige Rückkehr nach Sri Lanka kategorisch abgelehnt und in der Vergangenheit mit seiner Obstruktion sogar einen Ausschaffungsversuch vereitelt (geplanter Flug vom 24. Oktober 2018). Zudem hat er bereits mehrere Ausreisefristen ignoriert bzw. unbenutzt verstreichen lassen (erste Ausreisefrist bis zum 24. November 2017 nach dem Urteil des Bundesverwaltungsgerichts vom 13. Oktober 2017; zweite Ausreisefrist bis zum 17. Mai 2018 nach dem Urteil des Bundesverwaltungsgerichts vom 12. April 2018; dritte Ausreisefrist nach dem Entscheid des Bundesverwaltungsgerichts vom 23. Juli 2020 bis zum 10. Mai 2021). Darüber hinaus hat er auch nichts unternommen, um Reisepapiere zu organisieren oder seine Ausreise vorzubereiten und damit seine Mitwirkungspflichten verletzt. Zwar mag sich der Beurteilte regelmässig beim Migrationsamt gemeldet haben. Indes dienten diese Termine der Nothilfeverlängerung, waren also notwendige Voraussetzung dafür, dass der Beurteilte seine Nothilfe ausbezahlt erhielt. Da ihm nun bekannt ist, dass das Migrationsamt einen Flug organisiert hat und der Vollzug der Wegweisung unmittelbar bevorsteht, besteht die ernsthafte Gefahr, dass er sich bei einer Haftentlassung der Rückführung durch Untertauchen entzieht. Nach dem Gesagten besteht im Einklang mit der vorzitierten bundesgerichtlichen Rechtsprechung Untertauchensgefahr und ist der entsprechende Haftgrund erfüllt (Art. 76 Abs. 1 lit. b Ziff. 3 und 4 AIG).</w:t>
      </w:r>
    </w:p>
    <w:p>
      <w:r>
        <w:rPr>
          <w:b/>
        </w:rPr>
        <w:t>E. 3</w:t>
      </w:r>
    </w:p>
    <w:p>
      <w:r>
        <w:t>Aufgrund des vorstehend Erwogenen ist auszuschliessen, dass sich der Beurteilte an behördliche Anordnungen bzw. mildere Massnahmen halten würde, sodass eine Inhaftierung das einzige Mittel darstellt, mit dem der Vollzug der Wegweisung sichergestellt werden kann. Die Zumutbarkeit des Vollzugs der Wegweisung wurde  wie sich aus der Sachverhaltsdarstellung ergibt  von unterschiedlichen Stellen mehrfach und auch vor dem Hintergrund der geltend gemachten gesundheitlichen Leiden geprüft und festgestellt, dass in Sri Lanka nicht von einer Situation allgemeiner Gewalt auszugehen und der Vollzug der Wegweisung auch in individueller Hinsicht zumutbar sei (dem Beurteilten wird eine Medikamentenreserve von 30 Tagen mitgegeben). Daran ändert auch nichts, dass der Beurteilte in der heutigen Verhandlung geltend gemacht hat, er habe sich im April 2020 ein Tattoo mit einem «Tamil Tiger-Motiv» stechen lassen, zumal auch dieser Aspekt in den Asylverfahren bzw. den damit zusammenhändigen Rechtsmitteln und Wiedererwägungsverfahren vorzubringen gewesen wäre. Zudem haben sich die diversen Instanzen eingehend mit dem Risikoprofil des Beurteilten auseinandergesetzt und sind zum Schluss gelangt, dass der Beurteilte angesichts seiner geltend gemachten Tätigkeiten keinem besonderen Risiko ausgesetzt sei. Darauf ist  auch vor dem Hintergrund der eingeschränkten Kognition des Haftrichters (BGE 128 II 193 E. 2.2.2;Jucker,in: Caroni/Thurnherr [Hrsg.], Handkommentar zum Ausländer- und Integrationsgesetz [AIG], 2. Auflage, Bern 2024, Art. 80 N 17)  nicht zurückzukommen. Ergänzend ist darauf hinzuweisen, dass das Tattoo eigenen Angaben zufolge im April 2020 gestochen wurde, als bereits klar war, dass der Beurteilte die Schweiz definitiv verlassen muss. Insofern verdient sein Verhalten auch keinen Rechtsschutz, wobei auch genügend Zeit geblieben wäre, das Tattoo entfernen zu lassen (Urteil des Bundesverwaltungsgerichts D-2232/2023 vom 10. Mai 2023 E. 7.2). Kommt dazu, dass das SEM gemäss Schreiben vom 12. Februar 2025 auch in Aussicht gestellt hat, dass der Beurteilte bei seiner Ankunft von einem Vertreter der Schweizer Botschaft begleitet wird und er das Tattoo mit einem Verband oder einem langärmeligen Pullover abdecken kann. Im Übrigen wurden dem Beurteilten Zwangsmassnahmen mehrfach angekündigt. Dennoch hat er auf eine freiwillige Ausreise verzichtet. Schliesslich wurde die Haft nach Erhältlichmachung der notwendigen Unterlagen (Laissez-passer; «fit to travel» von OSEARA) auf das notwendige Mass begrenzt und nur für eine kurze Dauer angeordnet (dass die Haft dennoch für die Dauer von einem Monat verlangt worden ist, ist angesichts von nie im Detail voraussehbaren Unwägbarkeiten nicht zu beanstanden).</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rPr>
          <w:b/>
        </w:rPr>
        <w:t>E. 4.2</w:t>
      </w:r>
    </w:p>
    <w:p>
      <w:r>
        <w:t>4.2.1Die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4.2.2Der Beurteilte befindet sich erst seit wenigen Tagen in ausländerrechtlich motivierter Haft. Er hat  wie in der Sachverhaltsdarstellung erwähnt  seinen Aufenthaltsstatus in der Schweiz durch diverse Instanzen mehrfach überprüfen lassen. Die verschiedenen Behörden haben sich mit den sich stellenden Fragen im Zusammenhang mit seinen gesundheitlichen Problemen und der Zumutbarkeit seiner Überstellung nach Sri Lanka sorgfältig auseinandergesetzt. Seit einiger Zeit steht fest, dass er die Schweiz definitiv verlassen muss. Es bestehen daher nach der vorzitierten Rechtsprechung keine besonderen Schwierigkeiten, die es gebieten würden, dem Beurteilten eine unentgeltliche Rechtsvertretung an die Hand zu geben. Sein diesbezüglicher Antrag ist daher abzuweisen.</w:t>
      </w:r>
    </w:p>
    <w:p>
      <w:r>
        <w:t>Demgemäss erkenntder Einzelrichter:</w:t>
      </w:r>
    </w:p>
    <w:p>
      <w:r>
        <w:t>://:        Die über A____ angeordnete Ausschaffungshaft ist für die Dauer von einem Monat, das heisst bis zum 10. März 2025, rechtmässig und angemessen.</w:t>
      </w:r>
    </w:p>
    <w:p>
      <w:r>
        <w:t>Es werden keine Kosten erhoben.</w:t>
      </w:r>
    </w:p>
    <w:p>
      <w:r>
        <w:t>Der Antrag um unentgeltliche Verbeiständung wird abgewiesen.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