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AUS.2025.149 vom 5. Januar 2026</w:t>
      </w:r>
    </w:p>
    <w:p>
      <w:r>
        <w:t>BS Appellationsgericht, 2026-01-05, DE</w:t>
      </w:r>
    </w:p>
    <w:p>
      <w:r>
        <w:rPr>
          <w:b/>
        </w:rPr>
        <w:t xml:space="preserve">Quelle: </w:t>
      </w:r>
      <w:r>
        <w:t>https://mcp.opencaselaw.ch/entscheid/bs_appellationsgericht_AUS.2025.149</w:t>
      </w:r>
    </w:p>
    <w:p>
      <w:r>
        <w:t>FR: BS_APPELLATIONSGERICHT AUS.2025.149 du 5 janvier 2026</w:t>
      </w:r>
    </w:p>
    <w:p>
      <w:r>
        <w:t>IT: BS_APPELLATIONSGERICHT AUS.2025.149 del 5 gennaio 2026</w:t>
      </w:r>
    </w:p>
    <w:p>
      <w:pPr>
        <w:pStyle w:val="Heading2"/>
      </w:pPr>
      <w:r>
        <w:t>Erwägungen</w:t>
      </w:r>
    </w:p>
    <w:p>
      <w:r>
        <w:rPr>
          <w:b/>
        </w:rPr>
        <w:t>E. 1</w:t>
      </w:r>
    </w:p>
    <w:p>
      <w:r>
        <w:t>Gemäss Art. 80 Abs. 2 des Ausländer- und Integrationsgesetzes (AIG, SR 142.20) sind die Rechtmässigkeit und Angemessenheit der Haft spätestens nach 96 Stunden (nach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2.1Nach den gesetzlichen Vorschriften kann ein Ausländer zur Sicherstellung eines erstinstanzlichen Weg- oder Ausweisungsentscheids unter anderem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w:t>
      </w:r>
    </w:p>
    <w:p>
      <w:r>
        <w:rPr>
          <w:b/>
        </w:rPr>
        <w:t>E. 3</w:t>
      </w:r>
    </w:p>
    <w:p>
      <w:r>
        <w:t>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2.2Der Beurteilte weiss seit langer Zeit, dass er in der Schweiz kein Asyl erhalten wird und das Land definitiv verlassen muss. Er hat sich bis anhin jedoch geweigert, auszureisen, was er mehrfach  auch heute  deutlich kund tat und neben der fehlenden Mitwirkung bei der Papierbeschaffung auch dadurch illustriert wird, dass er einen für ihn auf freiwilliger Basis gebuchten Flug in die Heimat (am 26. November 2025) nicht angetreten hat. Der hier auch unter der Alias-Identität «[...]» bekannte Beurteilte mag sich in der Vergangenheit zwar regelmässig beim Migrationsamt gemeldet haben. Indes dienten diese Termine der Nothilfeverlängerung, waren also notwendige Voraussetzung dafür, dass der Beurteilte seine Nothilfe ausbezahlt erhielt. Da ihm nun bekannt ist, dass das Migrationsamt einen Flug organisiert hat und der Vollzug der Wegweisung unmittelbar bevorsteht, ist der Untertauchensanreiz aktuell entsprechend hoch. Darüber hinaus erhielt der sich in der Vergangenheit auch (zugestandenermassen illegal) in Schweden und England aufgehalten habende Beurteilte aufgrund seines unannehmbaren Verhaltens bei der Sozialhilfe ein Hausverbot und wurde mit Strafbefehl der Staatsanwaltschaft Basel-Stadt vom 10. November 2017 wegen Gewalt und Drohung gegen Behörden und Beamte schuldig erklärt, was seine Ignoranz behördlichen Anordnungen gegenüber unterstreicht (vgl.Baumann/Göksu, Zwangsmassnahmen im Ausländerrecht, Zürich/St. Gallen 2022, Rz 62). Nach dem Gesagten besteht im Einklang mit der vorzitierten bundesgerichtlichen Rechtsprechung ausgeprägte Untertauchensgefahr und ist der entsprechende Haftgrund erfüllt (Art. 76 Abs. 1 lit. b Ziff. 3 und</w:t>
      </w:r>
    </w:p>
    <w:p>
      <w:r>
        <w:rPr>
          <w:b/>
        </w:rPr>
        <w:t>E. 4</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ist für die Dauer von acht Tagen, bis zum 13. Januar 2026,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