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AUS.2025.135 vom 18. Januar 2011</w:t>
      </w:r>
    </w:p>
    <w:p>
      <w:r>
        <w:t>BS Appellationsgericht, 2011-01-18, DE</w:t>
      </w:r>
    </w:p>
    <w:p>
      <w:r>
        <w:rPr>
          <w:b/>
        </w:rPr>
        <w:t xml:space="preserve">Quelle: </w:t>
      </w:r>
      <w:r>
        <w:t>https://mcp.opencaselaw.ch/entscheid/bs_appellationsgericht_AUS.2025.135</w:t>
      </w:r>
    </w:p>
    <w:p>
      <w:r>
        <w:t>FR: BS_APPELLATIONSGERICHT AUS.2025.135 du 18 janvier 2011</w:t>
      </w:r>
    </w:p>
    <w:p>
      <w:r>
        <w:t>IT: BS_APPELLATIONSGERICHT AUS.2025.135 del 18 gennaio 2011</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Das Gericht kann auf die Durchführung einer mündlichen Verhandlung verzichten, wenn die Ausschaffung voraussichtlich innerhalb von acht Tagen nach der Haftanordnung erfolgen wird und die betroffene Person sich damit schriftlich einverstanden erklärt hat. Kann die Ausschaffung nicht innerhalb dieser Frist durchgeführt werden, so ist eine mündliche Verhandlung spätestens zwölf Tage nach der Haftanordnung nachzuholen (Art. 80 Abs. 3 AIG).</w:t>
      </w:r>
    </w:p>
    <w:p>
      <w:r>
        <w:t>Nach der vom Migrationsamt am 21. November 2025 verfügten Ausschaffungshaft war der Vollzug der Wegweisung des Beurteilten innert acht Tagen angesichts der Tatsache, dass der Beurteilte über einen gültigen Reisepass verfügte und das Migrationsamt die Flugbuchung für das Wunschdatum vom 26. November 2025 beim SEM in Auftrag gab, realistisch, weshalb  da auch ein ausdrücklicher Verzicht des Beurteilten auf Durchführung einer mündlichen Verhandlung vorlag  die Haftüberprüfung innert der 96-Stunde-Frist auf schriftlichem Weg erfolgte (vgl. VGE AUS.2025.33 vom 24. November 2025 E. 1). Am 24. November 2025 teilte das SEM dem Migrationsamt mit, dass ein Flug über ein Transitland nicht möglich und ein Direktflug aus der Schweiz frühestens am 30. November 2025 möglich sei, woraufhin das Migrationsamt beim SEM die Buchung des Flugs vom 30. November 2025 in Auftrag gab. Die Wegweisung des Beurteilten aus der Schweiz und dem Schengen-Raum kann daher nicht innert acht Tagen seit der Haftanordnung erfolgen, weshalb die mündliche Verhandlung bis spätestens am 2. Dezember 2025 nachzuholen ist.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Verfügung des Migrationsamts vom 21. November 2025 aus der Schweiz und dem Schengen-Raum weggewiesen. Diese Voraussetzung ist damit gegeben.</w:t>
      </w:r>
    </w:p>
    <w:p>
      <w:r>
        <w:rPr>
          <w:b/>
        </w:rPr>
        <w:t>E. 3</w:t>
      </w:r>
    </w:p>
    <w:p>
      <w:r>
        <w:t>3.1Nach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Der Beurteilte ist in den Registern mit diversen Alias-Identitäten verzeichnet, was bereits für sich für bestehende Untertauchensgefahr spricht (Hugi Yar, a.a.O., Rz. 12.97). Am 27. Juni 2013 wurde er unter der Identität [...] vom Regionalgericht Berner Jura-Seeland strafrechtlich verurteilt und im Schengener Informationssystem wurde der Beurteilte von der Schweiz unter der Identität [...] zur Personenfahndung zwecks Einreiseverweigerung (gültig bis am 2. April 2029) ausgeschrieben. Unter letzterer Identität stellte der Beurteilte auch seine beiden Asylgesuche in der Schweiz. Dies bestritt der Beurteilte heute zwar, konnte aber nicht erklären, woher der Name [...] in die Register gelangte. Angesichts der Tatsache, dass der Beurteilte bei der erneuten Einreise in die Schweiz nun einen Reisepass auf sich trug, der auf den Namen A____ lautet, ist mit dem Migrationsamt anzunehmen, dass er mit der anderen Identität die Fernhaltemassnahme zu umgehen versuchte, und ist seine Beteuerung anlässlich der Befragung vom 21. November 2025, wonach er nicht gewusst habe, dass das Einreiseverbot nicht mehr gültig sei, als Schutzbehauptung zu werten. Anlässlich der heutigen Verhandlung stritt er denn auch gar nicht mehr wirklich ab, dass er ein bestehendes Einreiseverbot hatte. Kommt hinzu, dass der Beurteilte auch von Österreich mit einem schengenweiten Einreiseverbot gültig bis am 8. April 2027 belegt worden ist, was seine Beteuerung umso unglaubhafter erscheinen lässt. Dass die österreichischen Behörden ihm zwar mitgeteilt haben sollen, dass er ein Einreiseverbot erhalte, nicht aber, dass dieses für den gesamten Schengen-Raum gelte, wie er anlässlich der Befragung beim Migrationsamt vom 21. November 2025 sowie anlässlich der heutigen Verhandlung geltend machte, ist kaum denkbar und daher ebenso als Schutzbehauptung zu werten. Im Reisepass des Beurteilten wurde ferner ein Einreisestempel für den Schengen-Raum festgestellt, bei dem das Migrationsamt davon ausgeht, dass es sich um eine Totalfälschung handelt. Mit Strafbefehl der Staatsanwaltschaft Basel-Stadt wurde er hierfür der Fälschung von Ausweisen schuldig erklärt. Der Strafbefehl ist zwar noch nicht rechtskräftig, immerhin ist aber festzustellen, dass das diesbezügliche Aussageverhalten des Beurteilten anlässlich der Befragung vom 21. November 2025 sehr ausweichend und nicht sonderlich überzeugend ausfiel, machte er doch im Wesentlichen geltend, dass er nicht mehr genau wisse, wo und wie er in den Schengen-Raum eingereist sei. Auch seine heutigen Aussagen fielen nicht sehr ergiebig aus. Vielmehr machte er auch heute erneut Erinnerungslücken geltend auf die Frage, wo er in den Schengen-Raum eingereist sei. Das bis am 2. April 2029 gültige Einreiseverbot sowie die Verhaftung vom 20. November 2025 in der Schweiz zeigen, dass der Beurteilte zudem offensichtlich nicht gewillt ist, sich an behördliche Anordnungen zu halten. In diesem Zusammenhang ist darauf hinzuweisen, dass der Beurteilte bereits in der Vergangenheit ein bestehendes Einreiseverbot der Schweiz mit Gültigkeit vom 1. April 2011 missachtete, wofür er mit Urteil des Regionalgerichts Berner Jura-Seeland vom 27. Juni 2013 unter anderem wegen Widerhandlungen gegen das Ausländergesetz (heute AIG) verurteilt wurde. Ausserdem hielt sich der Beurteilte im Jahr 2024 ein weiteres Mal im Schengen-Raum auf, wurde er doch von den deutschen Behörden am 7. November 2024 aus diesem weggewiesen. Bezeichnenderweise behauptete er auch in diesem Zusammenhang, dass ihm nicht gesagt worden sei, dass er aus dem gesamten Schengen-Raum weggewiesen worden sei. Zu berücksichtigen ist ferner, dass der Beurteilte in der Vergangenheit bereits einmal ein Asylgesuch in der Schweiz stellte, jedoch in der Folge als unkontrolliert abgereist galt. Dies alles zeigt, dass den Beurteilten behördliche Anordnungen schlichtweg nicht interessieren. Schliesslich ist Untertauchensgefahr auch bei strafrechtlich relevantem Verhalten zu bejahen, zumal bei einem straffälligen Ausländer  eher als bei einem unbescholtenen  davon auszugehen ist, er werde künftig behördliche Anordnungen missachten (Baumann/Göksu, Zwangsmassnahmen im Ausländerrecht, Zürich/St. Gallen 2022, Rz. 62).</w:t>
      </w:r>
    </w:p>
    <w:p>
      <w:r>
        <w:t>Es besteht nach dem Gesagten eine erhebliche Gefahr, dass der Beurteilte eine Freilassung dazu nutzen könnte, sich ins Ausland abzusetzen, zumal er anlässlich der Befragung durch das Migrationsamt vom 21. November 2025 freimütig angab, dass er im Fall einer Haftentlassung die Schweiz verlassen und nach Frankreich gehen werde, wo er sich zuvor aufgehalten habe (vgl. S. 5 des Protokolls).</w:t>
      </w:r>
    </w:p>
    <w:p>
      <w:r>
        <w:t>3.2Das Migrationsamt hat ausserdem den Haftgrund von Art. 76 Abs. 1 lit. b Ziff. 1 in Verbindung mit Art. 75 Abs. 1 lit. c AIG angenommen, wonach eine ausländische Person in Haft genommen werden kann, wenn sie das Gebiet der Schweiz trotz Einreiseverbot betritt und nicht sofort weggewiesen werden kann. Es wurde bereits unter dem Titel der Untertauchensgefahr dargelegt, dass der Beurteilte mehrfach gegen ein bestehendes Einreiseverbot verstiess. Hierauf kann verwiesen werden (vgl. E. 3.1 oben). Auch dieser Haftgrund ist vorliegend damit erfüllt.</w:t>
      </w:r>
    </w:p>
    <w:p>
      <w:r>
        <w:t>3.3Nach den gesetzlichen Vorschriften kann ein Ausländer zur Sicherstellung eines erstinstanzlichen Weg- oder Ausweisungsentscheids bzw. einer erstinstanzlich eröffneten Landesverweisung unter anderem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Urteil des Regionalgerichts Berner Jura-Seeland vom 27. Juni 2013 unter anderem wegen gewerbs- und bandenmässigen Diebstahls und mit Strafbefehl der Staatsanwaltschaft Neuchâtel vom 15. November 2016 unter anderem wegen Diebstahls verurteilt. Beim Diebstahl handelt es sich um ein Verbrechen gemäss Art. 10 Abs. 2 StGB, womit der Haftgrund gemäss Art. 76 Abs. 1 lit. b Ziff. 1 in Verbindung mit Art. 75 Abs. 1 lit. h AIG ebenfalls gegeben ist.</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4.2Mit der Haftanordnung soll vorliegend der Vollzug der Wegweisungsverfügung sichergestellt werden. Da der Beurteilte über ein gültiges Reisedokument verfügt, gab das Migrationsamt beim SEM bereits am 21. November 2025 eine Flugbuchung in Auftrag. Der Rückflug findet am 30. November 2025 statt. Das Migrationsamt ist damit nicht nur ohne jeden Verzug seiner Verpflichtung aus dem Beschleunigungsgebot nachgekommen, sondern erweist sich auch die angeordnete Dauer der Ausschaffungshaft von zwölf Tagen ohne weiteres verhältnismässig, zumal auch noch eine Reservefrist für unvorhergesehene Verzögerungen einzuberechnen ist. Ein milderes Mittel als die Haft, wie eine Eingrenzung oder eine regelmässige Meldepflicht, kommt angesichts der beträchtlichen Untertauchensgerfahr nicht in Frage. Der Beurteilte ist ohne feste Bleibe hier und hat, wie dargelegt (vgl. E. 3.1 oben), wiederholt gezeigt, dass er nicht gewillt ist, sich an behördlichen Anordnungen zu halten. Die Inhaftierung stellt damit das einzige Mittel dar, mit dem der Vollzug der Wegweisung sichergestellt werden kann. Das öffentliche Interesse an der Sicherstellung der Wegweisung überwiegt dasjenige des Beurteilten an seiner persönlichen Freiheit, zumal ernsthafte gesundheitliche Probleme nicht bekannt sind  und die medizinische Betreuung (inklusive Medikation) im Gefängnis Bässlergut ohnehin sichergestellt ist (wobei er anlässlich der heutigen Verhandlung ohnehin angab, dass es ihm gut gehe und er keine Medikamente nehme). Auch sind aktuell keine anderen körperlichen Beeinträchtigungen bekannt, sodass eine Rückführung auch in dieser Hinsicht möglich ist.</w:t>
      </w:r>
    </w:p>
    <w:p>
      <w:r>
        <w:t>4.3Dass die Rückführung nach Georgien tatsächlich möglich ist, versteht sich angesichts der bereits in die Wege geleiteten Flugbuchung von selbst. Auch ergeben sich keine Anhaltspunkte dafür, dass dem Beurteilten bei einer Rückkehr nach Georgien mit beachtlicher Wahrscheinlichkeit eine durch Art. 3 der Europäischen Menschenrechtskonvention (EMRK, SR 0.101) verbotene Strafe oder Behandlung droht. Schliesslich sprechen auch weder die in Georgien herrschende politische Situation noch andere Gründe gegen die Zumutbarkeit der Rückführung dorthin.</w:t>
      </w:r>
    </w:p>
    <w:p>
      <w:r>
        <w:rPr>
          <w:b/>
        </w:rPr>
        <w:t>E. 5</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für zwölf Tage bis zum 2. Dezember 2025, 13.15 Uhr, ist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