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AUS.2025.122 vom 20. Dezember 2024</w:t>
      </w:r>
    </w:p>
    <w:p>
      <w:r>
        <w:t>BS Appellationsgericht, 2024-12-20, DE</w:t>
      </w:r>
    </w:p>
    <w:p>
      <w:r>
        <w:rPr>
          <w:b/>
        </w:rPr>
        <w:t xml:space="preserve">Quelle: </w:t>
      </w:r>
      <w:r>
        <w:t>https://mcp.opencaselaw.ch/entscheid/bs_appellationsgericht_AUS.2025.122</w:t>
      </w:r>
    </w:p>
    <w:p>
      <w:r>
        <w:t>FR: BS_APPELLATIONSGERICHT AUS.2025.122 du 20 décembre 2024</w:t>
      </w:r>
    </w:p>
    <w:p>
      <w:r>
        <w:t>IT: BS_APPELLATIONSGERICHT AUS.2025.122 del 20 dicembre 2024</w:t>
      </w:r>
    </w:p>
    <w:p>
      <w:pPr>
        <w:pStyle w:val="Heading2"/>
      </w:pPr>
      <w:r>
        <w:t>Erwägungen</w:t>
      </w:r>
    </w:p>
    <w:p>
      <w:r>
        <w:rPr>
          <w:b/>
        </w:rPr>
        <w:t>E. 1</w:t>
      </w:r>
    </w:p>
    <w:p>
      <w:r>
        <w:t>Gemäss Art. 80 Abs. 2 AIG sind die Rechtmässigkeit und Angemessenheit der Haft spätestens nach 96 Stunden (nach der ausländerrechtlich motivierten Festhaltung) durch eine richterliche Behörde aufgrund einer mündlichen Verhandlung zu überprüfen. Diese Frist ist mit der heutigen Verhandlung eingehalten. Zuständig zur Überprüfung der Haft ist ein Einzelrichter am Appellationsgericht als Verwaltungsgericht (§</w:t>
      </w:r>
    </w:p>
    <w:p>
      <w:r>
        <w:rPr>
          <w:b/>
        </w:rPr>
        <w:t>E. 2</w:t>
      </w:r>
    </w:p>
    <w:p>
      <w:r>
        <w:t>2.1Nach den gesetzlichen Vorschriften kann ein Ausländer zur Sicherstellung eines erstinstanzlichen Weg- oder Ausweisungsentscheids dann in Haft genommen werden, wenn Untertauchensgefahr vorliegt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125 II 369 E. 3 b/aa) sowie bei eigentlichen Täuschungsmanövern, um die Identität zu verschleiern bzw. die Papierbeschaffung zu erschweren (z.B. Verwendung gefälschter Papiere, Auftreten unter mehreren Namen). Wie in Art. 76 Abs. 1 lit. b Ziff. 3 AIG ausdrücklich vorgesehen, müssen dafür konkrete Anhaltspunkte vorliegen (BGE 140 II 1 E. 5.3; BGer 2C_256/2013 vom 10. April 2013 E. 4.2, 2C_142/2013 vom 1. März 2013 E. 4.2). 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ihr einen persönlichen Eindruck erhält (vgl. dazuHugi Yar, Zwangsmassnahmen im Ausländerrecht, in: Ausländerrecht, Uebersax et al. [Hrsg.], 3. Auflage 2022, Rz. 12.103).</w:t>
      </w:r>
    </w:p>
    <w:p>
      <w:r>
        <w:t>2.2Der Beurteilte weiss zwar seit dem Nichteintretensentscheid des Bundesverwaltungsgerichts vom 18. Februar 2025, dass er die Schweiz definitiv verlassen muss. Er wurde in der Folge mehrfach darauf hingewiesen, dass er sein Aufenthaltsrecht in der Schweiz verloren und als Konsequenz davon die Pflicht hat, auszureisen und in seine Heimat zurückzukehren. Er wurde in der Folge mehrfach gefragt (am 3. April 2025, 26. Mai 2025, 9. Juli 2025, 20. August 2025, 8. Oktober 2025 und 30. Oktober 2025), ob er bereit sei, freiwillig in seine Heimat zurückzukehren, was er aber mit Hinweis auf eine in Burundi ihm drohende Verfolgung jeweils verneint hat. Der Beurteilte wurde auch mehrfach darauf hingewiesen, dass er  sollte er nicht freiwillig nach Burundi zurückkehren  unter Zwang dorthin gebracht werden könne, wobei er diesfalls vorgängig in Administrativhaft versetzt werden könne. Indes hat der stets kooperative (er hat alle Vorsprachtermine beim Migrationsamt  im Wissen um einen drohenden behördlichen Zugriff  pünktlich und zuverlässig wahrgenommen) und auch seiner Mitwirkungspflicht nach Art. 90 AIG nachgekommene Beurteilte bereits anlässlich der Befragung beim Migrationsamt vom 30. Oktober 2025 und auch in der heutigen Haftverhandlung auf die Frage, was er bei einer Haftentlassung tun würde, geantwortet, dass er in die Schule gehen und in der Schweiz bleiben [und damit nicht untertauchen] würde. Angesichts seines bisherigen Verhaltens in der Schweiz, gibt es keine gewichtigen Anhaltspunkte dafür, dass dem nicht so sein sollte, zumal der Beurteilte hier eine Ausbildung macht und keinerlei sozialen Kontakte zu Personen ausserhalb Basels oder im nahen Ausland aktenkundig sind und konkrete Anzeichen dafür, dass sich der Beurteilte der Ausschaffung entziehen würde, gemäss der bundesgerichtlichen Rechtsprechung nicht bloss darin erblickt werden können, dass er erklärt, nicht in sein Heimatland zurückkehren zu wollen (BGer 2C_712/2016 vom 6. September 2016 E. 1.3). Zudem begründet die blosse Nichtwahrnehmung einer gesetzten Ausreisefrist nach der bundesgerichtlichen Rechtsprechung ebenfalls keine Untertauchensgefahr (vgl. dazu BGE 140 II 1 E. 5.3; BGer 2C_793/2022 vom 9. Oktober 2023 E. 5.2, 2C_1017/2012 vom 30. Oktober 2012 E. 4.1.1;Sert, in: Caroni/Thurnherr [Hrsg.], Handkommentar zum Ausländer- und Integrationsgesetz [AIG], 2. Auflage, Bern 2024, Art. 76 N 19).</w:t>
      </w:r>
    </w:p>
    <w:p>
      <w:r>
        <w:t>2.3Kommt dazu, dass der neu mandatierter Rechtsvertreter des Beurteilten in der Haftverhandlung ausgeführt hat, er werde aufgrund neuer Vorbringen betreffend Verfolgung (der Bruder des Beurteilten sei im Zusammenhang mit seiner Tätigkeit für ein ranghohes Mitglied des Parlaments in Burundi zunächst inhaftiert und dann vergiftet worden; seine Schwägerin sei bedroht worden bzw. es sei ihr gesagt worden, dass sie ihr Haus bis Ende Dezember zu verlassen habe) beim SEM ein Wiedererwägungsgesuch einreichen. Angesichts der Tatsache, dass die im Asylverfahren dargelegten Vorbringen des Beurteilten vom SEM nicht per se als unglaubhaft betitelt wurden und angesichts des (vorbildlichen) Verhaltens des Beurteilten in der Schweiz ist nicht ersichtlich, weshalb diese neuen Vorbringen nicht der Wahrheit entsprechen sollten (dass der nun offenbar getötete Bruder dem Beurteilten sehr nahe stand und wie ein Vater für ihn war, ergibt sich bereits aus den Unterlagen aus dem Asylverfahren). Insofern besteht aus der Optik des Beurteilten wieder Aussicht auf einen von ihm gewünschten Verbleib in der Schweiz, sodass umso weniger von Untertauchensgefahr auszugehen ist (vgl. dazu BGE 129 I 139 E. 4.2.1; BGer 2C_712/2016 vom 6. September 2016 E. 1.3;Zünd, in: Spescha et al. [Hrsg.], Kommentar Migrationsrecht, 5. Auflage, Zürich 2019, Art. 76 AIG N 7).</w:t>
      </w:r>
    </w:p>
    <w:p>
      <w:r>
        <w:t>2.4Im Ergebnis besteht keine bzw. keine ausgeprägte Untertauchensgefahr, welcher nicht mit angemessenen (bereits erfolgreich angewandten) Ersatzmassnahmen begegnet werden könnte. Da kein anderer Haftgrund ersichtlich und geltend gemacht wird, ist der Beurteilte aus der Haft zu entlassen. Es kann damit offenbleiben, ob das rechtliche Gehör des Beurteilten bzw. seines Vertreters  wie geltend gemacht  zufolge nicht vollständiger Edition der Akten verletzt worden ist.</w:t>
      </w:r>
    </w:p>
    <w:p>
      <w:r>
        <w:rPr>
          <w:b/>
        </w:rPr>
        <w:t>E. 3</w:t>
      </w:r>
    </w:p>
    <w:p>
      <w:r>
        <w:t>3.1Nach dem Gesagten erweist sich die Anordnung der Ausschaffungshaft als nicht rechtmässig, weshalb der Beurteilte nach Erledigung der Austrittsformalitäten unverzüglich aus der Haft zu entlassen ist. Das vorliegende Verfahren ist kostenlos (§ 4 Abs. 1 des Gesetzes über den Vollzug der Zwangsmassnahmen im Ausländerrecht).</w:t>
      </w:r>
    </w:p>
    <w:p>
      <w:r>
        <w:t>3.2Dem Rechtsvertreter des Beurteilten ist aus der Gerichtskasse ein Honorar gemäss Honorarnote, zuzüglich 1 ½ Stunden für die Haftverhandlung, auszurichten. Für den genauen Betrag wird auf das Dispositiv verwiesen.</w:t>
      </w:r>
    </w:p>
    <w:p>
      <w:r>
        <w:t>Demgemäss erkenntder Einzelrichter:</w:t>
      </w:r>
    </w:p>
    <w:p>
      <w:r>
        <w:t>://:        In Aufhebung der Verfügung des Migrationsamts vom 30. Oktober 2025 ist A____ nach Erledigung der Austrittsformalitäten unverzüglich aus der Haft zu entlassen.</w:t>
      </w:r>
    </w:p>
    <w:p>
      <w:r>
        <w:t>Es werden keine Kosten erhoben.</w:t>
      </w:r>
    </w:p>
    <w:p>
      <w:r>
        <w:t>Dem Rechtsvertreter von A____, lic. iur. Guido Ehrler, Advokat, wird ein Honorar von CHF 1'312.50, zuzüglich 8,1 MWST von CHF 106.30, insgesamt also CHF 1418.80,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