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 vom 28. Januar 2025</w:t>
      </w:r>
    </w:p>
    <w:p>
      <w:r>
        <w:t>BS Appellationsgericht, 2025-01-28, DE</w:t>
      </w:r>
    </w:p>
    <w:p>
      <w:r>
        <w:rPr>
          <w:b/>
        </w:rPr>
        <w:t xml:space="preserve">Quelle: </w:t>
      </w:r>
      <w:r>
        <w:t>https://mcp.opencaselaw.ch/entscheid/bs_appellationsgericht_AUS.2025.12</w:t>
      </w:r>
    </w:p>
    <w:p>
      <w:r>
        <w:t>FR: BS_APPELLATIONSGERICHT AUS.2025.12 du 28 janvier 2025</w:t>
      </w:r>
    </w:p>
    <w:p>
      <w:r>
        <w:t>IT: BS_APPELLATIONSGERICHT AUS.2025.12 del 28 gennaio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im SIS auch mit dem Alias-Namen [...] verzeichnete Beurteilte am 16. April 2022 in Österreich, am 1. Juni 2022 in Deutschland, am 24. November 2022 erneut in Österreich und zuletzt am 28. Dezember 2022 wieder in Deutschland um Asyl ersucht. Gemäss eigenen Angaben hat er Österreich  nachdem er dort daktyloskopisch erfasst wurde und ohne das Ergebnis des Asylverfahrens abzuwarten  sich behördliche Anordnungen widersetzend gleich wieder verlassen und ist nach Deutschland gereist. Als man ihn im Dublin-Verfahren per Polizeibegleitung nach Österreich zurückgeführt habe, sei er  erneut behördliche Anordnungen ignorierend  am selben Tag wieder nach Deutschland gegangen. Obwohl er wissentlich keine gültigen Papiere auf sich trug (in der «Aussetzung der Duldung» wird ausdrücklich darauf hingewiesen, dass der Inhaber dieser Bescheinigung damit nicht der Pass- und Ausweispflicht genüge), ist er nun am 25. Januar 2025  bereits das dritte Mal  illegal in die Schweiz eingereist. Gemäss seinen Angaben anlässlich der Befragung beim Migrationsamt beabsichtige er bei einer Haftentlassung, sofort nach Deutschland zurückzukehren. Dies gab er trotz des Hinweises, dass ihm dies nicht selbständig möglich sei, mehrfach und dezidiert zum Ausdruck. Nach Österreich wolle er nicht. In der «Aussetzung der Duldung» wird darüber hinaus ausdrücklich darauf hingewiesen, dass dem Inhaber eine Erwerbstätigkeit nicht gestattet sei. Insofern sind die Ausführungen des Beurteilten, er sei daran, sich in Deutschland Arbeit zu besorgen, als unglaubhaft zu taxieren bzw. kann er damit nur «Schwarzarbeit» meinen.</w:t>
      </w:r>
    </w:p>
    <w:p>
      <w:r>
        <w:t>2.2.2Nach dem Gesagten ist auszuschliessen, dass sich der offenbar hochmobile und sich um behördliche Anordnungen regelrecht foutierende Beurteilte im Falle seiner Freilassung einem geordneten Verfahren (= in der Schweiz abwarten, bis klar ist, in welches Land er zurückkehren kann/muss) unterziehen würde. Vielmehr ist anzunehmen, dass er sich entgegen den behördlichen Anordnungen nach Deutschland absetzen würde und damit für die Behörden nicht mehr greifbar wäre.</w:t>
      </w:r>
    </w:p>
    <w:p>
      <w:r>
        <w:t>2.3Es stellt sich im Weiteren die Frage, ob ein milderes Mittel als Haft vorhanden ist, welches ein Untertauchen des Beurteilten wirksam verhindern könnte. A____ verfügt über keinen Bezug zur Schweiz (von seiner angeblichen Freundin in Basel kennt er nicht einmal den Nachnamen und die Adresse; zudem hat er im Rahmen des rechtlichen Gehörs betreffend Überweisung an die Staatsanwaltschaft gegenüber dem Migrationsamt noch angegeben, er habe Bekannte in Basel besuchen wollen, von einer Freundin war noch keine Rede; darüber hinaus ist es dem Beurteilten offenbar wichtiger, in Deutschland zuerst seinen LKW-Führerschein zu machen, als seine angebliche Freundin in Basel zu sehen). In dieser Situation erscheint der Anreiz für den Beurteilten, die Freiheit nach dem vorstehend Erwogenen für eine erneute Weiterreise ins grenznahe Deutschland zu missbrauchen sehr hoch. Eine regelmässige Meldepflicht könnte den offensichtlich hochmobilen Beurteilten kaum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auch zu Protokoll gegeben hat, dass es ihm gesundheitlich gut gehe. Auch ist die Anordnung der Vorbereitungshaft für die maximal mögliche Dauer von sieben Wochen (Art. 76a Abs. 3 lit. a AIG) nicht zu beanstanden, da zunächst die Zuständigkeit des Rückübernahmestaates (mutmasslich Deutschland oder Österreich) zu prüfen ist und das Staatssekretariat für Migration (SEM) anschliessend die Wegweisung verfügen muss. Der Beurteilte wird jedoch auf die Möglichkeit eines Haftentlassungsgesuchs hingewiesen. Das Dublin-Verfahren (Kategorie III) wurde am 27. Januar 2025 durch das Migrationsamt umgehend in die Wege geleitet, um dem Beschleunigungsgebot Rechnung zu tragen. Das Migrationsamt ist jedoch gehalten, dieses auch im weiteren Fortgang des Verfahrens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26. Januar 2025 bis zum 16. März 2025,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