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AUS.2025.113 vom 29. September 2025</w:t>
      </w:r>
    </w:p>
    <w:p>
      <w:r>
        <w:t>BS Appellationsgericht, 2025-09-29, DE</w:t>
      </w:r>
    </w:p>
    <w:p>
      <w:r>
        <w:rPr>
          <w:b/>
        </w:rPr>
        <w:t xml:space="preserve">Quelle: </w:t>
      </w:r>
      <w:r>
        <w:t>https://mcp.opencaselaw.ch/entscheid/bs_appellationsgericht_AUS.2025.113</w:t>
      </w:r>
    </w:p>
    <w:p>
      <w:r>
        <w:t>FR: BS_APPELLATIONSGERICHT AUS.2025.113 du 29 septembre 2025</w:t>
      </w:r>
    </w:p>
    <w:p>
      <w:r>
        <w:t>IT: BS_APPELLATIONSGERICHT AUS.2025.113 del 29 settembre 2025</w:t>
      </w:r>
    </w:p>
    <w:p>
      <w:pPr>
        <w:pStyle w:val="Heading2"/>
      </w:pPr>
      <w:r>
        <w:t>Erwägungen</w:t>
      </w:r>
    </w:p>
    <w:p>
      <w:r>
        <w:rPr>
          <w:b/>
        </w:rPr>
        <w:t>E. 1</w:t>
      </w:r>
    </w:p>
    <w:p>
      <w:r>
        <w:t>1.1Die Überstellungsfrist im Dublin-Verfahren nach Kroatien ist am 27. Dezember 2024 ausgelaufen. Gemäss Eurodac-Abfrage vom 25. September 2025 sind keine anderen Staaten zuständig geworden bzw. es wurde kein neues Asylgesuch durch den Beurteilten eingereicht. Somit ist die Schweiz zufolge Verfristung für den Beurteilten verantwortlich geworden.</w:t>
      </w:r>
    </w:p>
    <w:p>
      <w:r>
        <w:t>1.2Gemäss Art. 80 Abs. 2 des Ausländer- und Integrationsgesetzes (AIG, SR 142.20) sind die Rechtmässigkeit und Angemessenheit der Haft spätestens nach 96 Stunden (nach der ausländerrechtlich motivierten Festhaltung am 25. September 2025 um 15:00 Uhr)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1.3</w:t>
      </w:r>
    </w:p>
    <w:p>
      <w:r>
        <w:t>1.3.1Die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1.3.2Der Beurteilte wird nach dem Willen des Migrationsamts mit der Haftanordnungsverfügung vom 26. September 2025 mehr als drei Monate aufgrund ausländerrechtlicher Motive inhaftiert sein. Aufgrund der Qualifikation der Administrativhaft als einschneidenster Zwangsmassnahme und der nicht kurzen Zeitspanne seiner Inhaftierung, ist A____ für das Verfahren vor dem Haftgericht mit lic. iur. Stefan Kunz eine unentgeltliche Rechtsvertretung an die Hand zu geben.</w:t>
      </w:r>
    </w:p>
    <w:p>
      <w:r>
        <w:rPr>
          <w:b/>
        </w:rPr>
        <w:t>E. 2.1</w:t>
      </w:r>
    </w:p>
    <w:p>
      <w:r>
        <w:t>2.1.1Nach den gesetzlichen Vorschriften kann ein Ausländer zur Sicherstellung eines erstinstanzlichen Wegweisungsentscheids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2.1.2Der Beurteilte ist in der Vergangenheit bereits einmal untergetaucht, hat er sich doch nach seiner Haftentlassung vom 1. März 2024 trotz entsprechender Aufforderung nicht mehr bei den Schweizer Behörden gemeldet (er hat bereits den ersten Meldetermin verstreichen lassen). Mit seinem Untertauchen hat er seine Überstellung im Dublin-Verfahren nach Kroatien verunmöglicht. Dass er der Landesverweisung Folge leisten wollte und deshalb ausgereist sei, kann nur schon deshalb nicht zutreffen, weil das Migrationsamt ihm dazumals unmissverständlich mitgeteilt hat, dass er sich den Schweizer Behörden zur Verfügung halten muss und eben nicht ausreisen darf. Zudem wurde ihm ein Formular zwecks Nothilfeempfangs in der Schweiz ausgehändigt. Dieses hätte er nicht erhalten, wenn von ihm verlangt worden wäre, auszureisen. Im Übrigen hat der Beurteilte die zur Diskussion stehende Behauptung auch erstmals vor dem Haftgericht vorgebracht hat, was ebenfalls für die fehlende Glaubhaftigkeit spricht. In der Folge hat sich der Beurteilte trotz fehlender Papiere in mehreren Staaten des Schengen-Raums (Frankreich, Italien, Spanien) aufgehalten, bis er von der Tessiner Kantonspolizei am 24. September 2025 wieder in der Schweiz betroffen wurde. Die Untertauchensgefahr geradezu exemplarisch unterstreicht die vor dem Migrationsamt am 26. September 2025 auf entsprechende Frage gleich zwei Mal und auch heute vorgebrachte Erklärung, er werde bei einer Haftentlassung  notabene ohne gültige Reisepapiere und damit illegal  wieder nach Italien gehen. Schliesslich ist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w:t>
      </w:r>
    </w:p>
    <w:p>
      <w:r>
        <w:rPr>
          <w:b/>
        </w:rPr>
        <w:t>E. 2.2</w:t>
      </w:r>
    </w:p>
    <w:p>
      <w:r>
        <w:t>2.2.1Nach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2.2.2Der durch den Beurteilten mehrfach verwirklichte Straftatbestand des Diebstahls (Art. 139 Ziff. 1 StGB) und auch der Tatbestand des betrügerischen Missbrauchs einer Datenverarbeitungsanlage (Art. 147 Abs. 1 StGB) stellen Verbrechen im Sinne von Art. 10 Abs. 2 StGB dar, weswegen auch Art. 75 Abs. 1 lit. h AIG einschlägig ist.</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3.2Das Migrationsamt versuchte in der Vergangenheit eine mildere Massnahme in Gestalt einer regelmässigen Meldepflicht anzuwenden, der Beurteilt erschien jedoch bereits zum ersten Termin nicht mehr, sodass sie nicht erneut angeordnet werden kann, wobei sie der ausgeprägten Untertauchensgefahr ohnehin nicht wirksam begegnen könnte. Aufgrund des vorstehend Erwogenen bzw. der zuvor dargestellten Gleichgültigkeit behördlichen Anordnung gegenüber ist auch auszuschliessen, dass sich der Beurteilte an eine Ein- oder Ausgrenzung (Art. 74 AIG) im Sinne einer milderen Massnahme halten würde. Insofern stellt eine Inhaftierung das einzige Mittel dar, mit dem der Vollzug der Landesverweisung sichergestellt werden kann, zumal mangels Vorhandenseins auch kein Reisepass beim Migrationsamt hinterlegt werden könnte. Das als gross einzustufende öffentliche Interesse an der Sicherstellung der Landesverweisung überwiegt dasjenige des Beurteilten an seiner persönlichen Freiheit, zumal der Beurteilten aufgrund seiner Delinquenz als Gefahr für die öffentliche Sicherheit bezeichnet werden muss. Im Übrigen ist seine medizinische Versorgung im Gefängnis Bässlergut sichergestellt (inklusive Medikation wegen einer dermatologischen Erkrankung), wobei der Beurteilte ohnehin ausgeführt hat, es gehe ihm gut. Verletzungen des Beschleunigungsgebots sind nicht ersichtlich, zumal das Migrationsamt bereits am 26. September 2025 ein Identifikationsverfahren bei den algerischen Behörden eingeleitet hat.</w:t>
      </w:r>
    </w:p>
    <w:p>
      <w:r>
        <w:t>3.3Dass eine Rückführung nach Algerien tatsächlich möglich ist, ergibt sich nur schon aus der Tatsache, dass täglich Linienflüge nach Algier verkehren (ab Basel, teilweise mit Zwischenlandung). Auch ergeben sich mit Hinweis auf die Tatsache, dass seine gesamte Familie eigenen Angaben zufolge nach wie vor in Algerien lebt, keine Anhaltspunkte dafür, dass dem Beurteilten bei einer Rückkehr in seinen Heimatstaat mit beachtlicher Wahrscheinlichkeit eine durch Art. 3 der Europäischen Menschenrechtskonvention (EMRK, SR 0.101) verbotene Strafe oder Behandlung droht (dass er dort bestehende Schulden bezahlen müsste, widerspricht dem ebenfalls nicht). Zudem sprechen weder die in Algerien herrschende politische Situation noch andere Gründe gegen die Zumutbarkeit der Rückführung dorthin. Der Beurteilte hat in der heutigen Verhandlung nach Darlegung der Tatsache, dass der Anerkennungsprozess für nicht freiwillig Zurückkehrende mehr als zwölf Monate dauern kann, in Aussicht gestellt, heimatliche Papiere über seine in Algerien lebende Familie zu beschaffen. Darauf ist der Beurteilte zu behaften und die Haft vorläufig auf 2 ½ Monate zu befristen. Sollte der Beurteilte entgegen seiner heutigen Beteuerung keine heimatlichen Dokumente (Originaldokumente) beibringen und der Überstellungsprozess daher nicht wesentlich beschleunigt werden können, steht es dem Migrationsamt selbstredend frei, die Haft zu verlängern. Der Beurteilte wird jedoch auf die Möglichkeit eines Haftentlassungsgesuchs hingewiesen.</w:t>
      </w:r>
    </w:p>
    <w:p>
      <w:r>
        <w:rPr>
          <w:b/>
        </w:rPr>
        <w:t>E. 4</w:t>
      </w:r>
    </w:p>
    <w:p>
      <w:r>
        <w:t>4.1Nach dem Gesagten erweist sich die Haft als notwendig und verhältnismässig, weshalb sie zu bestätigen ist. Das vorliegende Verfahren ist kostenlos (§ 4 Abs. 1 des Gesetzes über den Vollzug der Zwangsmassnahmen im Ausländerrecht).</w:t>
      </w:r>
    </w:p>
    <w:p>
      <w:r>
        <w:t>4.2Dem Beurteilten wird die unentgeltliche Verbeiständung bewilligt (vgl. dazu auch E. 1.3). Lic. iur. Stefan Kunz ist im Rahmen der unentgeltlichen Verbeiständung aus der Gerichtskasse zu entschädigen, wobei für die Bemessung des Aufwands ohne weiteres auf seine Honorarnote vom 29. September 2025 abgestellt werden kann. Für eine Nachbesprechung mit dem Klienten bzw. den Fallabschluss wird zusätzlich eine halbe Stunde entschädigt. Für den genauen Betrag der Entschädigung wird auf das Dispositiv verwiesen.</w:t>
      </w:r>
    </w:p>
    <w:p>
      <w:r>
        <w:t>Demgemäss erkenntder Einzelrichter:</w:t>
      </w:r>
    </w:p>
    <w:p>
      <w:r>
        <w:t>://:        Die über A____ angeordnete Ausschaffungshaft ist für die Dauer von 2 ½ Monaten, das heisst bis zum 12. Dezember 2025, rechtmässig und angemessen.</w:t>
      </w:r>
    </w:p>
    <w:p>
      <w:r>
        <w:t>Es werden keine Kosten erhoben.</w:t>
      </w:r>
    </w:p>
    <w:p>
      <w:r>
        <w:t>Die unentgeltliche Verbeiständung wird bewilligt. Dem unentgeltlichen Rechtsvertreter, lic. iur. Stefan Kunz, wird ein Honorar von CHF 920., zuzüglich Auslagen in Höhe von CHF 2.50 und 8.1 % Mehrwertsteuer von CHF 74.75, insgesamt also CHF 997.25,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