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AUS.2025.105 vom 5. August 2016</w:t>
      </w:r>
    </w:p>
    <w:p>
      <w:r>
        <w:t>BS Appellationsgericht, 2016-08-05, DE</w:t>
      </w:r>
    </w:p>
    <w:p>
      <w:r>
        <w:rPr>
          <w:b/>
        </w:rPr>
        <w:t xml:space="preserve">Quelle: </w:t>
      </w:r>
      <w:r>
        <w:t>https://mcp.opencaselaw.ch/entscheid/bs_appellationsgericht_AUS.2025.105</w:t>
      </w:r>
    </w:p>
    <w:p>
      <w:r>
        <w:t>FR: BS_APPELLATIONSGERICHT AUS.2025.105 du 5 août 2016</w:t>
      </w:r>
    </w:p>
    <w:p>
      <w:r>
        <w:t>IT: BS_APPELLATIONSGERICHT AUS.2025.105 del 5 agosto 2016</w:t>
      </w:r>
    </w:p>
    <w:p>
      <w:pPr>
        <w:pStyle w:val="Heading2"/>
      </w:pPr>
      <w:r>
        <w:t>Erwägungen</w:t>
      </w:r>
    </w:p>
    <w:p>
      <w:r>
        <w:rPr>
          <w:b/>
        </w:rPr>
        <w:t>E. 1</w:t>
      </w:r>
    </w:p>
    <w:p>
      <w:r>
        <w:t>Gemäss Art. 80 Abs. 2 des Ausländer- und Integrationsgesetzes (AIG, SR 142.20) sind die Rechtmässigkeit und Angemessenheit der Haft spätestens nach 96 Stunden (nach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2.1</w:t>
      </w:r>
    </w:p>
    <w:p>
      <w:r>
        <w:t>2.1.1Nach den gesetzlichen Vorschriften kann ein Ausländer zur Sicherstellung eines erstinstanzlichen Weg- oder Ausweisungsentscheids dann in Haft genommen werden, wenn er Personen ernsthaft bedroht oder an Leib und Leben erheblich gefährdet und deshalb strafrechtlich verfolgt wird oder verurteilt worden ist (Art. 75 Abs. 1 lit. g AIG in Verbindung mit Art. 76 Abs. 1 lit. b Ziff. 1 AIG), wobei ein entsprechendes Urteil nicht in Rechtskraft erwachsen sein muss (Sert; in: Caroni/Thurnherr [Hrsg.], Handkommentar zum Ausländer- und Integrationsgesetz [AIG], 2. Auflage, Bern 2024, Art. 75 N 24).</w:t>
      </w:r>
    </w:p>
    <w:p>
      <w:r>
        <w:t>2.1.2Der Beurteilte wurde vom Appellationsgericht Basel-Stadt im Kontext häuslicher Gewalt mit Urteil vom 21. März 2023 der einfachen Körperverletzung (Ehegatte während der Ehe oder bis zu einem Jahr nach der Scheidung, mit Gift, Waffe oder gefährlichem Gegenstand), der versuchten einfachen Körperverletzung (Ehegatte während der Ehe oder bis zu einem Jahr nach der Scheidung, mit Gift, Waffe oder gefährlichem Gegenstand), der mehrfachen versuchten einfachen Körperverletzung (Ehegatte während der Ehe oder bis zu einem Jahr nach der Scheidung), der mehrfachen Drohung (Ehegatte während der Ehe oder bis zu einem Jahr nach der Scheidung) und der mehrfachen Tätlichkeiten (Ehegatte während der Ehe oder bis zu einem Jahr nach der Scheidung) schuldig erklärt und zu einer bedingt vollziehbaren Freiheitsstrafe von 15 Monaten (Probezeit zwei Jahre) sowie zu einer Busse in der Höhe von CHF 1'000. verurteilt. Damit ist der Haftgrund von Art. 75 Abs. 1 lit. g AIG in Verbindung mit Art. 76 Abs. 1 lit. b Ziff. 1 AIG erfüllt.</w:t>
      </w:r>
    </w:p>
    <w:p>
      <w:r>
        <w:rPr>
          <w:b/>
        </w:rPr>
        <w:t>E. 2.2</w:t>
      </w:r>
    </w:p>
    <w:p>
      <w:r>
        <w:t>2.2.1Nach den gesetzlichen Vorschriften kann ein Ausländer zur Sicherstellung eines erstinstanzlichen Weg- oder Ausweisungsentscheids zudem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w:t>
      </w:r>
    </w:p>
    <w:p>
      <w:r>
        <w:rPr>
          <w:b/>
        </w:rPr>
        <w:t>E. 3</w:t>
      </w:r>
    </w:p>
    <w:p>
      <w:r>
        <w:t>3.1Die Vorbereitungs- und die Ausschaffungshaft nach Art. 75-77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bzw. der ausgeprägten Untertauchensgefahr ist auszuschliessen, dass sich der Beurteilte an eine Ein- oder Ausgrenzung (Art. 74 AIG) im Sinne einer milderen Massnahme halten würde, sodass eine Inhaftierung das einzige Mittel darstellt, mit dem der Vollzug der Wegweisung sichergestellt werden kann, zumal mangels Vorhandenseins auch kein Reisepass beim Migrationsamt hinterlegt werden könnte. Auch überwiegt das als gross einzustufende öffentliche Interesse an der Sicherstellung der beiden Wegweisungen dasjenige des Beurteilten an seiner persönlichen Freiheit, zumal der Beurteilte seit Jahren weiss, dass er die Schweiz endgültig verlassen muss bzw. hier keine Zukunft hat, ihm Zwangsmassnahmen mehrfach angedroht wurden und ihm das Migrationsamt auch nur für eine vergleichsweise kurze Dauer die Freiheit entzogen hat. Auch wahrten die Schweizer Behörden das Beschleunigungsgebot, ist doch nicht ersichtlich, dass das Verfahren während eines bestimmten Zeitraums unnötig still gestanden wäre.</w:t>
      </w:r>
    </w:p>
    <w:p>
      <w:r>
        <w:t>3.3Dass eine Rückführung in den Irak tatsächlich möglich ist, ergibt sich nur schon aus der Tatsache, dass der Flug dorthin bereits gebucht worden ist. Auch ergeben sich mit Hinweis auf die abschlägigen Asylentscheide keine Anhaltspunkte dafür, dass dem Beurteilten bei einer Rückkehr in seinen Heimatstaat mit beachtlicher Wahrscheinlichkeit eine durch Art. 3 der Europäischen Menschenrechtskonvention (EMRK, SR 0.101) verbotene Strafe oder Behandlung droht. Zudem sprechen weder die im Nordirak herrschende politische Situation noch andere Gründe gegen die Zumutbarkeit der Rückführung dorthin, was nicht nur in den erwähnten Entscheiden betreffend die Person des Beurteilten ausgeführt wurde, sondern sich auch aus den aktuellsten Referenzurteilen des BVGer ergibt (BVGer D-913/2021 vom 19. März 2024 E. 8-10, E-1664/2023 vom 1. Juni 2023 E. 9.3.1, E-3937/2021 vom 14. Juli 2023 E. 8.2, D-2633/2022 vom 9. September 2022 E. 8.3.3, E-5810/2020 vom 18. Januar 2021 E. 7.3.3, E-4181/2019 vom 20. September 2021 E. 7.4.2). Aufgrund der eingeschränkten Kognition des Haftrichters in Bezug auf Entscheide von anderen, sachkompetenten Behörden (vgl. dazuJucker, in: Caroni/Thurnherr [Hrsg.], Ausländer- und Integrationsgesetz, 2. Auflage, Bern 2024, Art. 80 N 17), ist die Frage der Zumutbarkeit der Rückkehr in den Nordirak nicht weiter zu vertiefen, zumal sie gemäss dem vorstehend Erwogenen gut nachvollziehbar beantwortet wurde. Dasselbe gilt für die familiäre Situation des Beurteilten (geschieden von der Ex-Frau und kein Kontakt zu den beiden Kindern) bzw. einen möglichen Verstoss gegen Art. 8 EMRK und die medizinischen Probleme des Beurteilten bzw. die Verfügbarkeit von Therapien im Nordirak, wobei der Beurteilte vor seiner Inhaftierung ohnehin ausgeführt hat, dass er sich aktuell nicht in ärztlicher Behandlung befinde, sondern «bloss» ab und an eine Schmerztablette nehmen müsse. Der Beurteilte wurde von OSEARA denn auch als «fit to fly» eingestuft (datierend vom 18. August 2025).</w:t>
      </w:r>
    </w:p>
    <w:p>
      <w:r>
        <w:t>3.4Daran ändert nichts, dass der Beurteilte anlässlich der heutigen Verhandlung Suizidgedanken äusserte. Das Verwaltungsgericht hat in VGE VD.2012.253 vom 5. April 2013 sowie AUS.2014.82 vom 7. Januar 2015 und AUS.2025.85 vom 25. Juli 2025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AIG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 (AUS.2023.34 vom 17. Juli 2023 E. 6).</w:t>
      </w:r>
    </w:p>
    <w:p>
      <w:r>
        <w:rPr>
          <w:b/>
        </w:rPr>
        <w:t>E. 4</w:t>
      </w:r>
    </w:p>
    <w:p>
      <w:r>
        <w:t>4.1Nach dem Gesagten erweist sich die Haft für einen Monat als notwendig und verhältnismässig, weshalb sie für diesen Zeitraum zu bestätigen ist. Das vorliegende Verfahren ist kostenlos (§ 4 Abs. 1 des Gesetzes über den Vollzug der Zwangsmassnahmen im Ausländerrecht).</w:t>
      </w:r>
    </w:p>
    <w:p>
      <w:r>
        <w:rPr>
          <w:b/>
        </w:rPr>
        <w:t>E. 4.2</w:t>
      </w:r>
    </w:p>
    <w:p>
      <w:r>
        <w:t>4.2.1Der Beurteilte hat um Vertretung anlässlich der Haftrichterverhandlung ersucht. Die von ihm bezeichnete Rechtsvertreterin hat jedoch mitgeteilt, dass sie bzw. ihre Organisation keine «solchen» Mandate übernehmen würden, sodass niemand zur Haftrichterverhandlung «kommen» werde. Der Haftrichter ihr am 17. September 2025 mitgeteilt, dass nach einem ersten Studium der Akten die Voraussetzungen für eine unentgeltliche Verbeiständung nicht gegeben scheinen (Neuerungen anlässlich der Verhandlung vorbehalten), zumal das Migrationsamt die Haft auf einen Monat beschränkt habe. Es stehe dem Beurteilten indes frei, sich (auf eigene Kosten) von einer Anwältin/einem Anwalt vertreten zu lassen, was aber nicht geschehen ist.</w:t>
      </w:r>
    </w:p>
    <w:p>
      <w:r>
        <w:t>4.2.2Die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4.2.3Vorliegend sind die Voraussetzungen für die Einsetzung eines unentgeltlichen Rechtsbeistands nicht erfüllt: Zum einen beträgt die Inhaftierungsdauer deutlich weniger als drei Monate und sind nach dem vorstehend Erwogenen auch keine rechtlichen oder tatsächlichen Schwierigkeiten ersichtlich, die eine unentgeltliche Verbeiständung des Beurteilten bedürften.</w:t>
      </w:r>
    </w:p>
    <w:p>
      <w:r>
        <w:t>Demgemäss erkenntder Einzelrichter:</w:t>
      </w:r>
    </w:p>
    <w:p>
      <w:r>
        <w:t>://:        Die über A____ angeordnete Ausschaffungshaft ist für die Dauer von einem Monat, das heisst bis zum 15. Oktober 2025, rechtmässig und angemessen.</w:t>
      </w:r>
    </w:p>
    <w:p>
      <w:r>
        <w:t>Es werden keine Kosten erhoben.</w:t>
      </w:r>
    </w:p>
    <w:p>
      <w:r>
        <w:t>Der Antrag um unentgeltliche Verbeiständung wird abgewiesen.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