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AUS.2024.72 vom 21. April 2023</w:t>
      </w:r>
    </w:p>
    <w:p>
      <w:r>
        <w:t>BS Appellationsgericht, 2023-04-21, DE</w:t>
      </w:r>
    </w:p>
    <w:p>
      <w:r>
        <w:rPr>
          <w:b/>
        </w:rPr>
        <w:t xml:space="preserve">Quelle: </w:t>
      </w:r>
      <w:r>
        <w:t>https://mcp.opencaselaw.ch/entscheid/bs_appellationsgericht_AUS.2024.72</w:t>
      </w:r>
    </w:p>
    <w:p>
      <w:r>
        <w:t>FR: BS_APPELLATIONSGERICHT AUS.2024.72 du 21 avril 2023</w:t>
      </w:r>
    </w:p>
    <w:p>
      <w:r>
        <w:t>IT: BS_APPELLATIONSGERICHT AUS.2024.72 del 21 aprile 2023</w:t>
      </w:r>
    </w:p>
    <w:p>
      <w:pPr>
        <w:pStyle w:val="Heading2"/>
      </w:pPr>
      <w:r>
        <w:t>Erwägungen</w:t>
      </w:r>
    </w:p>
    <w:p>
      <w:r>
        <w:rPr>
          <w:b/>
        </w:rPr>
        <w:t>E. 1</w:t>
      </w:r>
    </w:p>
    <w:p>
      <w:r>
        <w:t>Die (verlängerte) Haftanordnung gilt noch bis zum 11. Dezember 2024. Die heutige gerichtliche Überprüfung der Haftverlängerungsverfügung findet folglich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Festhaltungsichergestellt werden soll (Art. 76 Abs. 1 des Ausländer- und Integrationsgesetzes [AIG, SR 142.20]). Der Beurteilte wurde mit dem negativen Asylentscheid des SEM vom 21. April 2023 rechtskräftig aus der Schweiz weggewiesen. Zudem wurde er mit Urteil des Strafgerichts Basel-Stadt vom 18. März 2024 (SG.2024.14) rechtskräftig für drei Jahre des Landes verwiesen.</w:t>
      </w:r>
    </w:p>
    <w:p>
      <w:r>
        <w:rPr>
          <w:b/>
        </w:rPr>
        <w:t>E. 3</w:t>
      </w:r>
    </w:p>
    <w:p>
      <w:r>
        <w:t>Das Migrationsamt stützt die Ausschaffungshaft, genauer deren Verlängerung, auf mehrere Haftgründe ab.</w:t>
      </w:r>
    </w:p>
    <w:p>
      <w:r>
        <w:t>3.1Das Migrationsamt begründet die Ausschaffungshaft zunächst mit der Verurteilung des Beurteilten zu einem Verbrechen (Art. 76 Abs. 1 lit. b in Verbindung Art. 75 Abs. 1 lit. h AIG). Der Beurteilte ist in der Vergangenheit wiederholt strafrechtlich in Erscheinung getreten und deswegen verschiedentlich zu Freiheits- und Geldstrafen wie auch Bussen verurteilt worden. Im vorliegenden Zusammenhang ist wesentlich, dass er mit Urteil des Strafgerichts vom 18. März 2024 wegen zahlreicher Gesetzesverstössen, namentlich mehrfachen, teil versuchten Diebstahls und Sachbeschädigung, zu einer Freiheitsstrafe von 7 ½ Monaten rechtskräftig verurteilt wurde. Unter Verbrechen im Sinne von Art. 75 Abs. 1 lit. h AIG sind Straftaten zu verstehen, die mit Freiheitsstrafe von mehr als drei Jahren bedroht sind (Art. 10 Abs. 2 StGB). Beim erwähnten Straftatbeständen des einfachen Diebstahls (Art. 139 Ziff. 1 StGB) handelt es sich um ein Verbrechen im Sinne der genannten Bestimmung. Die betreffende Strafbestimmung hält eine Strafandrohung von bis zu fünf Jahren bereit. Der erste vom Migrationsamt angeführte Haftgrund der (rechtskräftigen) Verurteilung wegen eines Verbrechens ist damit vorliegend erfüllt. Unerheblich ist, dass der Beurteilte bloss zu einer Freiheitsstrafe von 7 ½ Monaten verurteilt worden ist. Denn massgebend ist allein die abstrakte Strafandrohung, nicht die tatsächlich verhängte Strafe (BGer 2C_260/2018 vom 9. April 2018 E. 4.3;Zünd, in: Spescha et al. [Hrsg.], Kommentar Migrationsrecht, 5. Auflage, Zürich 2019, Art. 75 AIG N 12).</w:t>
      </w:r>
    </w:p>
    <w:p>
      <w:r>
        <w:t>3.2Wie sich aus dem in den Akten befindlichen Strafregisterauszug vom 11. September 2024 ergibt, wurde der Beurteilte wiederholt rechtskräftig wegen Missachtung einer Ein- oder Ausgrenzung nach Art. 119 Abs. 1 AIG verurteilt (Strafbefehl der Regionalen Staatsanwaltschaft Bern-Mittelland vom 20. Februar 2023; Strafbefehl der Regionalen Staatsanwaltschaft Oberland vom 14. Juli 2023; Strafbefehl der Staatsanwaltschaft Brugg-Zurzach vom 6. September 2023). Damit ist auch der zweite vom Migrationsamt genannte Haftgrund von Art. 76 Abs. 1 lit. b Ziff. 1 in Verbindung mit Art. 75 Abs. 1 lit. b AIG erfüllt.</w:t>
      </w:r>
    </w:p>
    <w:p>
      <w:r>
        <w:t>3.3Das Migrationsamt hat die Haftanordnung schliesslich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Im vorliegenden Fall ist die Untertauchensgefahr ohne Weiteres zu bejahen, wie der Haftrichter schon bei der erstmaligen Haftüberprüfung (VGE AUS.2024.29 vom 14. Juni 2024 E. 3.4) wie auch bei der ersten Haftverlängerung (VGE AUS.2024.48 vom 10. September 2024 E. 3.3) festgestellt hat. Der Beurteilte ist offensichtlich nicht bereit, sich an die gesetzlichen Vorschriften und an behördliche Anordnungen zu halten. Sein Asylgesuch wurde mit Entscheid des SEM vom 21. April 2023 abgewiesen und er wurde aus der Schweiz weggewiesen. An diese Anweisung hielt er sich jedoch nicht, sondern tauchte unter. Ende 2023 wurde der Beurteilte in Deutschland angehalten, woraufhin die Schweiz seiner Überstellung im Rahmen des Dublin-Verfahrens zustimmte. Nach seiner Inhaftierung (Untersuchungs- bzw. Sicherheitshaft) und seiner Verurteilung durch das Strafgericht Basel-Stadt am 18. März 2024 wurde er auf seine Pflichten, die Schweiz zu verlassen und bei der Beschaffung von Reisepapieren mitzuwirken, hingewiesen. Der Beurteilte weigert sich jedoch, seinen diesbezüglichen Pflichten nachzukommen. Er ist offensichtlich nicht bereit, sich an gesetzliche Regelungen und behördliche Anordnungen zu halten. Es besteht eine erhebliche Gefahr, dass er eine Freilassung dazu nutzen könnte, unterzutauchen und sich ein weiteres Mal ins Ausland abzusetzen. Er gibt unverändert an, in Marokko Probleme zu haben und unter keinen Umständen zurück zu wollen (Verhandlungsprotokoll, S. 2 f.). Die Untertauchensgefahr ist sodann auch bei strafrechtlich relevantem Verhalten zu bejahen, da bei einem straffälligen Ausländer  eher als bei einem unbescholtenen  eher davon auszugehen ist, er werde künftig behördliche Anordnungen missachten (Baumann/Göksu, Zwangsmassnahmen im Ausländerrecht, Zürich/St. Gallen 2022, Rz 62;Hugi Yar, a.a.O., Rz 12.97). Der Beurteilte ist, wie sich aus dem erwähnten Strafregisterauszug ergibt, verschiedentlich straffällig geworden. Er wurde wiederholt wegen Diebstahls, Sachbeschädigung, Hausfriedensbruch sowie Missachtung einer Ein- oder Ausgrenzung zu Freiheits- und Geldstrafen sowie Bussen verurteilt. Der Beurteilte ist sodann auch seinen Mitwirkungspflichten in keiner Weise nachgekommen. Er hat sich nie um die Beschaffung von Reisepapieren gekümmert oder sich in Kooperation mit dem Migrationsamt darum bemüht. Aufgrund all dieser Umstände ist auch der Haftgrund einer erheblichen Untertauchensgefahr im Sinne von Art. 76 Abs. 1 lit. b Ziff. 3 und 4 AIG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Zum Beschleunigungsgebot im Wegweisungsverfahren hält das Bundesgericht im Entscheid 139 I 206 E. 2.1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4.2Die Anordnung der Ausschaffungshaft im vorliegenden Fall erweist sich unter allen Aspekten als verhältnismässig. Der Beurteilte ist rechtskräftig aus der Schweiz weggewiesen worden bzw. ist über ihn rechtskräftig eine Landesverweisung verhängt worden (oben E. 2). Am 12. Juni 2024 wurde er nach Verbüssung der Freiheitsstrafe aus dem Gefängnis entlassen. Eine Rückkehr in sein Heimatland lehnt er entschieden ab. Eine Ausreise in ein Drittland ist mangels gültiger Reisepapiere auf legalem Weg nicht möglich. Der Beurteilte hat bislang nichts unternommen, um Reisepapiere zu beschaffen bzw. mitzuwirken. Die Inhaftierung ist somit der einzige Weg, um den Vollzug der Wegweisung bzw. der Landesverweisung sicherzustellen. Ausserdem stellt der Beurteilte aufgrund seiner wiederholten Straffälligkeit eine Gefährdung der öffentlichen Sicherheit und Ordnung dar, so dass eine Freilassung auch unter diesem Gesichtspunkt nicht in Frage kommt.</w:t>
      </w:r>
    </w:p>
    <w:p>
      <w:r>
        <w:t>Die Ausschaffung des Beurteilten nach Marokko ist rechtlich und tatsächlich möglich. Das SEM hat in seinem abweisenden Asylentscheid vom 21. April 2023 in eingehender Prüfung verneint, dass dem Beurteilten bei einer Rückkehr in seine Heimat eine konkrete Gefährdung von Leib und Leben drohen würde. Die allgemeine schlechte Wirtschaftslage in Marokko spricht nicht gegen den Vollzug der Wegweisung und der Landesverweisung und somit nicht gegen eine Ausschaffung dorthin. Das Migrationsamt hat in Beachtung des Beschleunigungsgebots bereits am Tag nach der Verurteilung des Beurteilten durch das Strafgericht Basel-Stadt beim SEM um Rückkehrunterstützung ersucht. Das SEM hat daraufhin am 25. März 2024 seinerseits die marokkanische Botschaft um Identifizierung des Beurteilten ersucht. Am 5. Juni 2024 hat sich das SEM dort nach dem Stand der Dinge erkundigt. Das Migrationsamt hat sich seinerseits am 2. September 2024 beim SEM nach einer Rückmeldung der marokkanischen Behörden erkundigt. Das SEM hat am 31. Oktober 2024 alle offenen Identifizierungsanfragen, darunter diejenige des Beurteilten, bei der marokkanischen Botschaft angemahnt. Dass der Identifizierungsprozess nicht schneller vorangeht, liegt offensichtlich nicht an den schweizerischen, sondern an den marokkanischen Behörden. Der Beurteilte hat es freilich selber in der Hand, diesen Prozess zu beschleunigen, indem er mit den Behörden seines Herkunftlandes Kontakt aufnimmt. Das Migrationsamt hat ihm in der Befragung vom 7. August 2024 die Kontaktdaten der marokkanischen Botschaft in Bern wie auch der zuständigen Behörden in Rabat/Marokko (Direction des affaires consulaires et sociales) genannt, um sich ein Laissez Passer ausstellen zu lassen. Der Beurteilte hat sich auch in drei weiteren Befragungen jeweils standhaft geweigert, die genannten Stellen anzurufen oder mit seiner Familie in Marokko Kontakt aufzunehmen, damit sie ihm helfe (zuletzt in der Befragung vom 7. Oktober 2024). In der Befragung vom 7. November 2024 hat er sogar das Gespräch ganz verweigert. Auch heute rückt er von seiner Verweigerungshaltung nicht ab. Es gilt demzufolge die Antwort der marokkanischen Behörden abzuwarten. Sobald der Beurteilte als marokkanischer Staatsangehöriger anerkannt und seine Identität bestätigt ist, werden erfahrungsgemäss binnen weniger Wochen ein Laissez Passer beschafft sowie ein Flug gebucht werden können. Angesichts der hierfür noch benötigten Zeitspanne erscheint die Verlängerung der Ausschaffungshaft um drei Monate als angemessen. Eine mildere Massnahme als die Inhaftierung wie eine Eingrenzung (Art. 74 AIG) wäre im Übrigen nicht zielführend. Der Beurteilte hat in der Vergangenheit immer wieder angegeben, er sei bereit, die Schweiz binnen weniger Stunden zu verlassen, wenn man ihn freiliesse (Befragungsprotokoll vom 7. August 2024, S. 2 f.; Befragungsprotokoll vom 20. August 2024, S. 2). Eine Freilassung unter Auflagen (z.B. regelmässige Meldepflicht) kommt auch darum nicht in Frage, als der Beurteilte sich in der Vergangenheit schon wiederholt nicht an derartige Anordnungen der Behörden gehalten hat und in der Folge deswegen strafrechtlich verurteilt worden ist (Missachtung einer Ein- oder Ausgrenzung [oben E. 3.2]). Aufgrund der erheblichen Untertauchensgefahr (oben E.  3.3), ist die Fortsetzung der Ausschaffungshaft erforderlich, um die Wegweisung bzw. Landesverweisung sicherzustellen.</w:t>
      </w:r>
    </w:p>
    <w:p>
      <w:r>
        <w:rPr>
          <w:b/>
        </w:rPr>
        <w:t>E. 5</w:t>
      </w:r>
    </w:p>
    <w:p>
      <w:r>
        <w:t>Für das Verfahren werden keine Kosten erhoben (§ 4 des Gesetzes über den Vollzug der Zwangsmassnahmen im Ausländerrecht [SG 122.300]).</w:t>
      </w:r>
    </w:p>
    <w:p>
      <w:r>
        <w:t>Demgemäss erkenntder Einzelrichter:</w:t>
      </w:r>
    </w:p>
    <w:p>
      <w:r>
        <w:t>://:        Die Verlängerung der über A____ angeordneten Ausschaffungshaft bis zum 11. März 2025 ist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