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AUS.2024.56 vom 29. April 2013</w:t>
      </w:r>
    </w:p>
    <w:p>
      <w:r>
        <w:t>BS Appellationsgericht, 2013-04-29, DE</w:t>
      </w:r>
    </w:p>
    <w:p>
      <w:r>
        <w:rPr>
          <w:b/>
        </w:rPr>
        <w:t xml:space="preserve">Quelle: </w:t>
      </w:r>
      <w:r>
        <w:t>https://mcp.opencaselaw.ch/entscheid/bs_appellationsgericht_AUS.2024.56</w:t>
      </w:r>
    </w:p>
    <w:p>
      <w:r>
        <w:t>FR: BS_APPELLATIONSGERICHT AUS.2024.56 du 29 avril 2013</w:t>
      </w:r>
    </w:p>
    <w:p>
      <w:r>
        <w:t>IT: BS_APPELLATIONSGERICHT AUS.2024.56 del 29 aprile 2013</w:t>
      </w:r>
    </w:p>
    <w:p>
      <w:pPr>
        <w:pStyle w:val="Heading2"/>
      </w:pPr>
      <w:r>
        <w:t>Erwägungen</w:t>
      </w:r>
    </w:p>
    <w:p>
      <w:r>
        <w:rPr>
          <w:b/>
        </w:rPr>
        <w:t>E. 1</w:t>
      </w:r>
    </w:p>
    <w:p>
      <w:r>
        <w:t>1.1Gemäss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zwar erst seit kurzem aufgrund ausländerrechtlicher Motive inhaftiert. Aufgrund der Qualifikation der Administrativhaft als einschneidenster Zwangsmassnahme und der sich stellenden rechtlichen Schwierigkeiten (Behandlung der bereits im Kanton Luzern verbüssten Administrativhaft, Umgang mit den bis anhin gescheiterten Identifizierungsanfragen) ist A____ mit B____ eine unentgeltliche Rechtsvertretung an die Hand zu geben.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zwei rechtskräftige Wegweisungsverfügungen (vom 29. April 2013 und vom 1. März 2021) sowie eine rechtskräftige, siebenjährige Landesverweisung (vom 9. Dezember 2022) vor.</w:t>
      </w:r>
    </w:p>
    <w:p>
      <w:r>
        <w:rPr>
          <w:b/>
        </w:rPr>
        <w:t>E. 3.1</w:t>
      </w:r>
    </w:p>
    <w:p>
      <w:r>
        <w:t>3.1.1Nach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3.1.2Nach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 Hugi Yar, Zwangsmassnahmen im Ausländerrecht, in: Ausländerrecht, Uebersax et al. [Hrsg.], 3. Auflage 2022, Rz. 12.103).</w:t>
      </w:r>
    </w:p>
    <w:p>
      <w:r>
        <w:t>3.2Der Beurteilte wurde mit Urteil des Strafgerichts Basel-Stadt vom 9. Dezember 2022 unter anderem des Raubs und des Diebstahls, beides Verbrechen gemäss Art. 10 Abs. 2 StGB, rechtskräftig schuldig erklärt. Der Haftgrund gemäss Art. 76 Abs. 1 lit. b Ziff. 1 in Verbindung mit Art. 75 Abs. 1 lit. h AIG ist damit erfüllt.</w:t>
      </w:r>
    </w:p>
    <w:p>
      <w:r>
        <w:t>3.3A____ wurde mit Urteil des Strafgerichts Basel-Stadt vom 9. Dezember 2022 auch der mehrfachen Missachtung der Ein- oder Ausgrenzung im Sinne des Bundesgesetzes über die Ausländerinnen und Ausländer und über die Integration rechtskräftig schuldig erklärt. Damit ist auch der Haftgrund gemäss Art. 76 Abs. 1 lit. b Ziff. 1 in Verbindung mit Art. 75 Abs. 1 lit. b AIG erfüllt.</w:t>
      </w:r>
    </w:p>
    <w:p>
      <w:r>
        <w:t>3.4Darüber hinaus ist auch von einer ausgeprägten Untertauchensgefahr auszugehen: Der Beurteilte hat sich bis anhin  trotz Kenntnis seiner schon lange bestehenden Ausreisepflicht  konsequent geweigert, bei der Papierbeschaffung mitzuwirken oder eine Freiwilligkeitserklärung zu unterzeichnen und seiner in Art. 90 AIG statuierten Mitwirkungspflicht nachzukommen. A____ ist in der Vergangenheit auch bereits mehrfach untergetaucht. Nachdem ihm am 22. Juli 2013 Gelegenheit zur selbstständigen Ausreise gegeben und er aus der Haft entlassen wurde, tauchte er unter und galt ab dem 8. August 2013 als verschwunden. Auch nach der Abweisung des zweiten Asylgesuchs war der Beurteilte nicht mehr auffindbar und galt  selbst wenn in diesem Jahr mehrere Strafbefehle ergangen sein mögen und im November 2021 festgestellt wurde, dass er aktuell nicht als untergetaucht gelte  ab dem 9. März 2021 als verschwunden. Zudem konnte er bereits zweimal nicht zur Befragung durch eine Delegation aus Sierra Leone zugeführt werden, weil er sich gegen den Transport wehrte. Auch im April 2016 verhinderte sein Untertauchen einen Termin bei den Behörden von Guinea. Schliesslich ist die Untertauchensgefahr auch bei strafrechtlich relevantem Verhalten zu bejahen, da bei einem straffälligen Ausländer  eher als bei einem unbescholtenen  eher davon auszugehen ist, er werde künftig behördliche Anordnungen missachten (Baumann/Göksu, Zwangsmassnahmen im Ausländerrecht, Zürich/St. Gallen 2022, Rz 62). Dass sich der Beurteilte regelrecht um behördliche Anordnungen foutiert, zeigt nicht zuletzt der Schuldspruch wegen mehrfacher Missachtung der Ein- oder Ausgrenzung im Sinne des Bundesgesetzes über die Ausländerinnen und Ausländer und über die Integration.</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4.2Aufgrund des vorstehend Erwogenen bzw. der einschlägigen Vorstrafe ist auszuschliessen, dass sich der Beurteilte an eine Ein- oder Ausgrenzung (Art. 74 AIG) im Sinne einer milderen Massnahme halten würde, sodass eine Inhaftierung das einzige Mittel darstellt, mit dem der Vollzug der beiden Wegweisungsverfügungen und der Landesverweisung sichergestellt werden kann, zumal mangels Vorhandenseins auch kein Reisepass beim Migrationsamt hinterlegt werden könnte und eine Meldepflicht (wie geltend gemacht) der ausgeprägten Untertauchensgefahr nicht wirksam begegnen kann. Das als gross einzustufende öffentliche Interesse an der Sicherstellung des Vollzugs überwiegt dasjenige des Beurteilten an seiner persönlichen Freiheit deutlich, zumal der Beurteilte angesichts seiner 15 strafrechtlichen Verurteilungen auch eine grosse Gefahr für die öffentliche Sicherheit darstellt und er gesundheitliche Probleme heute verneint hat, wobei solche einer Inhaftierung ohnehin nicht entgegenstünden, ist die medizinische Betreuung (inklusive Medikation) im Gefängnis Bässlergut doch sichergestellt.</w:t>
      </w:r>
    </w:p>
    <w:p>
      <w:r>
        <w:t>4.3Der Beurteilte wurde von den Behörden von Sierra Leone, Gambia, Guinea und Nigeria bisher nicht als eigener Staatsangehöriger anerkannt, wobei er  auch heute  auf seiner sierra-leonischen Herkunft beharrt. Gemäss einem Lingua-Gutachten vom 15. Januar 2023 könnte der Berteilte auch aus Liberia stammen. Für eine Befragung bei diesen Behörden ist er für das Jahr 2025 vorgemerkt. Bereits für Ende des Jahres 2024 sind nochmalige Vorsprachen bei den Behörden von Gambia und Guinea geplant. Ein Treffen mit den nigerianischen Behörden ist vorgemerkt, aber noch nicht terminiert. Eine Identifizierung des Beurteilten erscheint ohne neue Informationen zwar schwierig. Im Sinne der vorzitierten bundesgerichtlichen Rechtsprechung kann aber angesichts der Hinweise im Lingua-Gutachten auf eine liberianische Herkunft nicht gesagt werden, es bestehe eine bloss höchst unwahrscheinliche, rein theoretische Möglichkeit, dass die Wegweisung vollzogen werden kann. Sollte die Anfrage an die liberianischen Behörden ebenfalls abschlägig beantwortet werden, wäre allenfalls eine Durchsetzungshaft in Erwägung zu ziehen, wobei der Beurteilte  selbst wenn er tatsächlich nicht in einem Register in seinem Heimatland registriert sein sollte  bereits jetzt jederzeit kooperieren (Anrufe oder Vorsprache bei seiner Heimatbehörde mit der Information, dass er freiwillig zurückkehren möchte) und die Dauer seiner Inhaftierung damit absehbar machen kann. Schliesslich trifft entgegen dem von seinem Vertreter geltend gemachten Argument nicht zu, dass das Migrationsamt sich erst seit dem 14. Oktober 2024 um die Identifizierung kümmert, sind erste diesbezügliche Versuche neuerdings doch bereits im Februar 2022 dokumentiert. Dass der Identifizierungsprozess derart lange dauert, ist nicht dem Verhalten der Schweizer Behörden, die das Beschleunigungsgebot immer gewahrt haben, geschuldet, sondern dem nicht kooperativen Verhalten des Beurteilten. Nach dem Gesagten ist die für drei Monate verfügte Dauer der Haft nicht zu beanstanden. Der Beurteilte wird jedoch auf die Möglichkeit eines Haftentlassungsgesuchs hingewiesen.</w:t>
      </w:r>
    </w:p>
    <w:p>
      <w:r>
        <w:t>4.4Der Beurteilte befand sich in der Vergangenheit bereits während insgesamt 234 Tagen im Kanton Luzern in Administrativhaft. In der Zwischenzeit ist er jedoch mehrfach aus der Schweiz ausgereist, sodass die der Fristenlauf von Art. 79 Abs. 1 AIG mit der aktuellen, ausländerrechtlich begründeten Inhaftierung (hauptsächlich gestützt auf die siebenjährige Landesverweisung) neu zu laufen begonnen hat (BGE 143 II 113 E. 3;Zünd, a.a.O., Art. 79 AIG N 4), wobei die Maximaldauer von 18 Monaten ohnehin noch länger nicht erreicht ist, zumal die in Art. 79 Abs. 2 AIG statuierten Voraussetzungen beide erfüllt sind.</w:t>
      </w:r>
    </w:p>
    <w:p>
      <w:r>
        <w:rPr>
          <w:b/>
        </w:rPr>
        <w:t>E. 5</w:t>
      </w:r>
    </w:p>
    <w:p>
      <w:r>
        <w:t>5.1Nach dem Gesagten erweist sich die Haft als notwendig und verhältnismässig, weshalb sie zu bestätigen ist. Das vorliegende Verfahren ist kostenlos (§ 4 Abs. 1 des Gesetzes über den Vollzug der Zwangsmassnahmen im Ausländerrecht).</w:t>
      </w:r>
    </w:p>
    <w:p>
      <w:r>
        <w:t>5.2B____ ist im Rahmen der unentgeltlichen Verbeiständung aus der Gerichtskasse zu entschädigen, wobei auf dessen Honorarnote abgestellt werden kann (für die heutige Verhandlung werden zusätzlich zwei Stunden vergütet). Für den genauen Betrag der Entschädigung wird auf das Dispositiv verwiesen.</w:t>
      </w:r>
    </w:p>
    <w:p>
      <w:r>
        <w:t>Demgemäss erkenntder Einzelrichter:</w:t>
      </w:r>
    </w:p>
    <w:p>
      <w:r>
        <w:t>://:        Die über A____ angeordnete Ausschaffungshaft ist für die Dauer von drei Monaten, das heisst bis zum 13. Januar 2025, rechtmässig und angemessen</w:t>
      </w:r>
    </w:p>
    <w:p>
      <w:r>
        <w:t>Es werden keine Kosten erhoben.</w:t>
      </w:r>
    </w:p>
    <w:p>
      <w:r>
        <w:t>Dem unentgeltlichen Rechtsvertreter, B____, wird ein Honorar von CHF 1384., zuzüglich Auslagen von CHF 42.90, zuzüglich 8.1 % Mehrwertsteuer von CHF 115.60, insgesamt also CHF 1542.50, aus der Gerichtskasse ausgerichtet.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