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AUS.2024.31 vom 12. Mai 2022</w:t>
      </w:r>
    </w:p>
    <w:p>
      <w:r>
        <w:t>BS Appellationsgericht, 2022-05-12, DE</w:t>
      </w:r>
    </w:p>
    <w:p>
      <w:r>
        <w:rPr>
          <w:b/>
        </w:rPr>
        <w:t xml:space="preserve">Quelle: </w:t>
      </w:r>
      <w:r>
        <w:t>https://mcp.opencaselaw.ch/entscheid/bs_appellationsgericht_AUS.2024.31</w:t>
      </w:r>
    </w:p>
    <w:p>
      <w:r>
        <w:t>FR: BS_APPELLATIONSGERICHT AUS.2024.31 du 12 mai 2022</w:t>
      </w:r>
    </w:p>
    <w:p>
      <w:r>
        <w:t>IT: BS_APPELLATIONSGERICHT AUS.2024.31 del 12 maggio 2022</w:t>
      </w:r>
    </w:p>
    <w:p>
      <w:pPr>
        <w:pStyle w:val="Heading2"/>
      </w:pPr>
      <w:r>
        <w:t>Erwägungen</w:t>
      </w:r>
    </w:p>
    <w:p>
      <w:r>
        <w:rPr>
          <w:b/>
        </w:rPr>
        <w:t>E. 1</w:t>
      </w:r>
    </w:p>
    <w:p>
      <w:r>
        <w:t>Die bestehende Haftanordnung gilt noch bis zum 24. Juni 2024. Die heutige gerichtliche Überprüfung der Haftverlängerungsverfügung findet folglich noch vor Ablauf der bestehenden Ausschaffungshaft und damit rechtzeitig statt.</w:t>
      </w:r>
    </w:p>
    <w:p>
      <w:r>
        <w:rPr>
          <w:b/>
        </w:rPr>
        <w:t>E. 2</w:t>
      </w:r>
    </w:p>
    <w:p>
      <w:r>
        <w:t>2.1Nach den gesetzlichen Vorschriften kann ein Ausländer zur Sicherstellung eines erstinstanzlichen Weg- oder Ausweisungsentscheids bzw. einer erstinstanzlichen Landesverweisung dann in Haft genommen werden, wenn Untertauchensgefahr vorliegt (Art. 76 Abs. 1 lit. b Ziff. 3 und 4 des Ausländer- und Integrationsgesetzes [AIG, SR 142.20]).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und 125 II 369 E. 3b/aa)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Uebersax et al. [Hrsg.], Ausländerrecht, 3. Auflage 2022, Rz. 12.103).</w:t>
      </w:r>
    </w:p>
    <w:p>
      <w:r>
        <w:t>2.2In der Haftverlängerungsverfügung hat das Migrationsamt die Untertauchensgefahr mit dem bisherigen Verhalten des Beurteilten begründet, namentlich der Nichtbefolgung behördlicher Anordnungen, was sich exemplarisch an der Widersetzung der selbständigen Ausreise zeige. Der Haftrichter hat in seinem Urteil hierzu erwogen, dass der Beurteilte bereits einmal  als man ihm anlässlich der geplanten Vorsprache vom 4. Januar 2024 beim Migrationsamt das Flugticket nach Marokko habe aushändigen wollen  untergetaucht sei und man ihn erst anlässlich einer Polizeikontrolle am 25. März 2024 wieder habe auffinden können. Ebenso wenig sei er im Zeitraum Dezember 2023/Januar 2024 bei der Rückkehrberatung trotz Termins nicht mehr erschienen. Der Beurteilte habe ihm gesetzte Ausreisfristen verstreichen lassen. In der Vergangenheit habe er mehrfach dezidiert zum Ausdruck gebracht, dass er unter keinen Umständen nach Marokko zurückkehren möchte und nicht freiwillig ausreisen werde, weshalb der Anreiz, erneut unterzutauchen, hoch sei (VGE AUS.2024.19 vom 27. März 2024 E. 2.2). Der Beurteilte hat in seiner Befragung vom 14. Juni 2024 zwar bekundet, nunmehr zur Rückkehr in seine Heimat bereit zu sein, und sich nach Möglichkeiten der finanziellen Unterstützung erkundigt. Diese Bereitschaft hat er heute widerrufen bzw. relativiert. Er wolle nach Möglichkeit in ein anderes europäisches Land reisen (Verhandlungsprotokoll, S. 4). Aufgrund dieser ambivalenten Aussagen besteht nach wie vor die Gefahr eines Untertauchens. Der Beurteilte weiss schon seit langem, dass er die Schweiz verlassen muss. Die grosszügig nach Abschluss des verwaltungsgerichtlichen Rekursverfahrens gesetzte Ausreisefrist bis zum 4. März 2023 liess er ungenutzt verstreichen. Auch nach seinem Austritt aus den Universitären Psychiatrischen Kliniken (UPK) im Ende Mai 2023 blieb der Beurteilte in der Schweiz. Würde er nun aus der Haft entlassen, könnte er, nachdem er in Freiheit nicht freiwillig zur Rückkehr in die Heimat gewesen war, seine Meinung wieder ändern und untertauchen, um sich der Rückführung erneut zu entziehen. Der Haftgrund einer Untertauchensgefahr (Art. 76 Abs. 1 lit. b Ziff. 3 und 4 AIG) ist damit unverändert gegeben.</w:t>
      </w:r>
    </w:p>
    <w:p>
      <w:r>
        <w:rPr>
          <w:b/>
        </w:rPr>
        <w:t>E. 3</w:t>
      </w:r>
    </w:p>
    <w:p>
      <w:r>
        <w:t>3.1Die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Zum Beschleunigungsgebot im Wegweisungsverfahren hält das Bundesgericht im Entscheid 139 I 206 E. 2.1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3.2Der Beurteilte verfügt über keine gültigen Reisedokumente. Sein Reisepass war nur bis zum 20. März 2024 gültig. Der Beurteilte verfügt zwar noch über eine Identitätskarte, welche noch bis zum 21. Februar 2029 gültig ist. Jedoch erlaubt Marokko die Einreise nach Aussage des Vertreters des Migrationsamts nur mit einem gültigen Reisepass (Verhandlungsprotokokoll, S. 3 f.), weshalb sich die schweizerischen Behörden nunmehr um ein Laissez passer für den Beurteilten bemühen müssen. Unmittelbar im Nachgang an die Haftverhandlung vom 27. März 2024 ersuchte das Migrationsamt das Staatssekretariat für Migration (SEM) um Rückkehrunterstützung. Gemäss dessen Auskunft vom 28. März 2024 hatte das SEM die marokkanischen Behörden tags zuvor um Abklärung und Bestätigung der Identität des Beurteilten ersucht. Das Migrationsamt hat in der Folge wiederholt beim SEM nachgehakt und sich erkundigt, was Stand der Dinge sei und wie man die Papierbeschaffung beschleunigen könne. Nach Auskunft des SEM vom 28. März 2024 liegt es vor allem in der Hand des Beurteilten bzw. dessen Familie, auf eine Verfahrensbeschleunigung hinzuwirken, indem er bzw. sie bei der für die Identifizierung zuständigen "Direction des affaires consulaires et sociales" in Rabat/Marokko vorstellig würden. Aus den Akten ergeben sich keine Anhaltspunkte, dass entsprechende Kontakte seitens des Beurteilten bzw. seiner Familie stattgefunden hätten. Nachdem das Migrationsamt in der Folge wiederholt beim SEM auf die Dringlichkeit der Sache hingewiesen hatte, richtete das SEM am 5. Juni 2024 ein Erinnerungsschreiben an die marokkanische Botschaft. Aus diesem Geschehen ergibt sich, dass die schweizerischen Behörden nicht untätig geblieben sind, sondern die Bestätigung der Identität des Beurteilten, der die Mitwirkung an der Papierbeschaffung abgesehen von einem  ergebnislos verlaufenen  Telephonanruf an das marokkanische Konsulat bislang verweigert hat, mit der gebotenen Beförderlichkeit vorangetrieben haben. Sobald die Identität des Beurteilten von den marokkanischen Behörden bestätigt sein wird, werden Laissez Passer und Flugbuchung erfahrungsgemäss innert weniger Wochen erhältlich gemacht werden können. Angesichts der dafür benötigten Zeit erscheint die Verlängerung der bestehenden Ausschaffungshaft um drei Monate als angemessen.</w:t>
      </w:r>
    </w:p>
    <w:p>
      <w:r>
        <w:t>3.3Ein milderes Mittel zur Sicherstellung des Wegweisungsvollzugs ist nicht ersichtlich. Insbesondere kommen eine Eingrenzung und eine regelmässige Meldepflicht entgegen der Forderung des Beurteilten (Verhandlungsprotokoll, S. 6 f.) nicht in Frage. Er hat zwar nunmehr eine gewisse Bereitschaft zur Rückkehr in seine Heimat angedeutet, doch zugleich auch unverhohlen zu erkennen gegeben, dass er bei einer Freilassung die Schweiz in Richtung Frankreich verlassen würde (Verhandlungsprotokoll, S. 4 f.). Damit besteht unverändert eine erhebliche Untertauchensgefahr, sollte er freigelassen werden. Diese Gefahr kann auch nicht mit einer Eingrenzung und einer regelmässigen Meldepflicht gebannt werden.</w:t>
      </w:r>
    </w:p>
    <w:p>
      <w:r>
        <w:rPr>
          <w:b/>
        </w:rPr>
        <w:t>E. 4</w:t>
      </w:r>
    </w:p>
    <w:p>
      <w:r>
        <w:t>4.1Für das Verfahren werden keine Kosten erhoben (§ 4 des Gesetzes über den Vollzug der Zwangsmassnahmen im Ausländerrecht).</w:t>
      </w:r>
    </w:p>
    <w:p>
      <w:r>
        <w:t>4.2Dem Beurteilten ist die unentgeltliche Verbeiständung mit Advokat [...] gewährt worden (Verfügung vom 18. Juni 2024). Gestützt auf dessen Angaben und unter Berücksichtigung der heutigen Verhandlung wird ein Aufwand von insgesamt 7 Stunden (einschliesslich Nachbesprechung) vergütet.</w:t>
      </w:r>
    </w:p>
    <w:p>
      <w:r>
        <w:t>Demgemäss erkenntder Einzelrichter:</w:t>
      </w:r>
    </w:p>
    <w:p>
      <w:r>
        <w:t>://:        Die Verlängerung der über A____ angeordneten Ausschaffungshaft bis zum 23. September 2024 ist rechtmässig und angemessen.</w:t>
      </w:r>
    </w:p>
    <w:p>
      <w:r>
        <w:t>Dem unentgeltlichen Rechtsbeistand von A____, [...], wird ein Honorar von CHF 1'405.25 (einschliesslich Auslagen), zuzüglich 8,1 % MWST von CHF 113.85, aus der Gerichtskasse ausgerichtet.</w:t>
      </w:r>
    </w:p>
    <w:p>
      <w:r>
        <w:t>Mitteilung an:</w:t>
      </w:r>
    </w:p>
    <w:p>
      <w:r>
        <w:t>-     A____</w:t>
      </w:r>
    </w:p>
    <w:p>
      <w:r>
        <w:t>-     [...]</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