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AUS.2024.29 vom 21. April 2023</w:t>
      </w:r>
    </w:p>
    <w:p>
      <w:r>
        <w:t>BS Appellationsgericht, 2023-04-21, DE</w:t>
      </w:r>
    </w:p>
    <w:p>
      <w:r>
        <w:rPr>
          <w:b/>
        </w:rPr>
        <w:t xml:space="preserve">Quelle: </w:t>
      </w:r>
      <w:r>
        <w:t>https://mcp.opencaselaw.ch/entscheid/bs_appellationsgericht_AUS.2024.29</w:t>
      </w:r>
    </w:p>
    <w:p>
      <w:r>
        <w:t>FR: BS_APPELLATIONSGERICHT AUS.2024.29 du 21 avril 2023</w:t>
      </w:r>
    </w:p>
    <w:p>
      <w:r>
        <w:t>IT: BS_APPELLATIONSGERICHT AUS.2024.29 del 21 aprile 2023</w:t>
      </w:r>
    </w:p>
    <w:p>
      <w:pPr>
        <w:pStyle w:val="Heading2"/>
      </w:pPr>
      <w:r>
        <w:t>Erwägungen</w:t>
      </w:r>
    </w:p>
    <w:p>
      <w:r>
        <w:rPr>
          <w:b/>
        </w:rPr>
        <w:t>E. 1</w:t>
      </w:r>
    </w:p>
    <w:p>
      <w:r>
        <w:t>Gemäss Art. 80 Abs. 2 Ausländer- und Integrationsgesetz (AIG, SR 142.20) sind die Rechtmässigkeit und Angemessenheit der Haft spätestens nach 96 Stunden durch eine richterliche Behörde aufgrund einer mündlichen Verhandlung zu überprüfen. Diese Frist ist mit der heutigen Verhandlung und Haftüberprüfung eingehalten.</w:t>
      </w:r>
    </w:p>
    <w:p>
      <w:r>
        <w:rPr>
          <w:b/>
        </w:rPr>
        <w:t>E. 2</w:t>
      </w:r>
    </w:p>
    <w:p>
      <w:r>
        <w:t>Die Ausschaffungshaft setzt einen erstinstanzlichen Weg- oder Ausweisungsent-scheid oder eine erstinstanzliche Landesverweisung nach Artikel 66a oder 66abisStrafgesetzbuch (StGB, SR 311.0) oder Artikel 49a oder 49abisMilitärstrafgesetzbuch (MStG, SR 321.0) voraus, dessen Vollzug mit der entsprechenden Festhaltung sichergestellt werden soll. Der Beurteilte wurde mit dem negativen Asylentscheid des SEM vom 21. April 2023 rechtskräftig aus der Schweiz weggewiesen. Zudem wurde er mit Urteil des Strafgerichts Basel-Stadt vom 18. März 2024 (SG.2024.14) rechtskräftig für drei Jahre des Landes verwiesen.</w:t>
      </w:r>
    </w:p>
    <w:p>
      <w:r>
        <w:rPr>
          <w:b/>
        </w:rPr>
        <w:t>E. 3</w:t>
      </w:r>
    </w:p>
    <w:p>
      <w:r>
        <w:t>3.1Nach den gesetzlichen Vorschriften kann ein Ausländer zur Sicherstellung des Vollzugs eines eröffneten erstinstanzlichen Weg- oder Ausweisungsentscheids oder einer erstinstanzlichen Landesverweisung nach Art. 66a oder 66abisStGB oder Art. 49aoder 49abisMStG insbesondere in Haft genommen werden, wenn Gründe nach Art. 76 Abs. 1 lit. b Ziff. 1 in Verbindung mit Art. 75 Abs. 1 lit. b, c, g, h oder i AIG vorliegen, so etwa wenn er ein Nach Art. 74 AIG zugewiesenes Gebiet verlässt oder ein ein ihm verbotenes Gebiet betritt (Art. 76 Abs. 1 lit. b Ziff. 1 in Verbindung mit Art. 75 Abs. 1 lit. b AIG) oder er wegen eines Verbrechens verurteilt worden ist (Art. 76 Abs. 1 lit. b Ziff. 1 in Verbindung mit Art. 75 Abs. 1 lit. h AIG). Ausserdem kann der Ausländer in Haft genommen werden, wenn konkrete Anzeichen befürchten lassen, dass er sich der Ausschaffung entziehen will, insbesondere, weil er besonderen Mitwirkungspflichten nicht nachkommt (Art. 76 Abs. 1 lit. b Ziff. 3 AIG), oder wenn Untertauchensgefahr vorliegt (Art. 76 Abs. 1 lit. b Ziff. 3 und 4 AIG). Dies ist regelmässig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und 125 II 369 E. 3b/aa).</w:t>
      </w:r>
    </w:p>
    <w:p>
      <w:r>
        <w:t>3.2Der Beurteilte ist in der Vergangenheit wiederholt strafrechtlich in Erscheinung getreten und deswegen verschiedentlich zu Freiheits- und Geldstrafen wie auch Bussen verurteilt worden. Im vorliegenden Zusammenhang ist wesentlich, dass er mit Urteil des Strafgerichts vom 18. März 2024 wegen zahlreicher Gesetzesverstössen, namentlich mehrfachen, teil versuchten Diebstahls und Sachbeschädigung, zu einer Freiheitsstrafe von 7 ½ Monaten rechtskräftig verurteilt wurde. Unter Verbrechen im Sinne von Art. 75 Abs. 1 lit. h AIG sind Straftaten zu verstehen, die mit Freiheitsstrafe von mehr als drei Jahren bedroht sind (Art. 10 Abs. 2 StGB). Beim erwähnten Straftatbeständen des einfachen Diebstahls (Art. 139 Ziff. 1 StGB) handelt es sich um ein Verbrechen im Sinne der genannten Bestimmung. Die betreffende Strafbestimmung hält eine Strafandrohung von bis zu fünf Jahren bereit. Der erste vom Migrationsamt angeführte Haftgrund der (rechtskräftigen) Verurteilung wegen eines Verbrechens (Art. 76 Abs. 1 lit. b Ziff. 1 in Verbindung mit Art. 75 Abs. 1 lit. h AIG) ist damit vorliegend erfüllt. Unerheblich ist, dass der Beurteilte bloss zu einer Freiheitsstrafe von 7 ½ Monaten verurteilt worden ist. Denn massgebend ist allein die abstrakte Strafandrohung, nicht die tatsächlich verhängte Strafe (BGer 2C_260/2018 vom 9. April 2018 E. 4.3;Zünd, in: Spescha et al. [Hrsg.], Kommentar Migrationsrecht, 5. Auflage, Zürich 2019, Art. 75 AIG N 12).</w:t>
      </w:r>
    </w:p>
    <w:p>
      <w:r>
        <w:t>3.3Wie sich aus dem in den Akten befindlichen Strafregisterauszug vom 11. Juni 2024 ergibt, wurde der Beurteilte wiederholt rechtskräftig wegen Missachtung einer Ein- oder Ausgrenzung nach Art. 119 Abs. 1 AIG verurteilt (Strafbefehl der Regionalen Staatsanwaltschaft Bern-Mittelland vom 20. Februar 2023; Strafbefehl der Regionalen Staatsanwaltschaft Oberland vom 14. Juli 2023; Strafbefehl der Staatsanwaltschaft Brugg-Zurzach vom 6. September 2023). Damit ist auch der zweite vom Migrationsamt genannte Haftgrund von Art. 76 Abs. 1 lit. b Ziff. 1 in Verbindung mit Art. 75 Abs. 1 lit. b AIG erfüllt.</w:t>
      </w:r>
    </w:p>
    <w:p>
      <w:r>
        <w:t>3.4Das Migrationsamt hat die Haftanordnung schliesslich mit der Untertauchensgefahr begründet (Art. 76 Abs. 1 lit. b Ziff. 3 und 4 AIG). Dies ist regelmässig dann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140 II 1 E. 5.4 und 130 II 56 E. 3.1, je mit Hinweisen). Untertauchensgefahr ist auch zu bejahen bei eigentlichen Täuschungsmanövern, um die Identität zu verschleiern bzw. die Papierbeschaffung zu erschweren (Businger, Ausländerrechtliche Haft, Zürich 2015, S. 120 f.). Seinen Mitwirkungspflichten nach Art. 90 AIG kommt auch nicht nach, wer sich rein passiv verhält und somit den Wegweisungsvollzug aktiv vereitelt (BGE 130 II 377 E. 3.2.2; BGer 2C_442/2020 vom 24. Juni 2020 E. 3.2.1). Die Beurteilung der Untertauchensgefahr beruht auf einer Prognose. Diese ist in erster Linie vom Haftgericht vorzunehmen und zu begründen, letzteres nicht zuletzt deshalb, da das Haftgericht den Ausländer im Rahmen der obligatorischen mündlichen Verhandlung befragt und von ihm einen persönlichen Eindruck erhält (vgl.Hugi Yar, Zwangsmassnahmen im Ausländerrecht, in: Uebersax et al. [Hrsg.], Ausländerrecht, 3. Auflage, Basel 2023, Rz 12.103; Entscheid des Verwaltungsgerichts ZH VB.2014.00104 vom 17. März 2014 E. 4.3).</w:t>
      </w:r>
    </w:p>
    <w:p>
      <w:r>
        <w:t>Im vorliegenden Fall ist die Untertauchensgefahr ohne Weiteres zu bejahen. Der Beurteilte ist offensichtlich nicht bereit, sich an die gesetzlichen Vorschriften und an behördliche Anordnungen zu halten. Sein Asylgesuch wurde mit Entscheid des SEM vom 21. April 2023 abgewiesen und er wurde aus der Schweiz weggewiesen. An diese Anweisung hielt er sich jedoch nicht, sondern tauchte unter. Ende 2023 wurde der Beurteilte in Deutschland angehalten, woraufhin die Schweiz seiner Überstellung im Rahmen des Dublin-Verfahrens zustimmte. Nach seiner Inhaftierung (Untersuchungs- bzw. Sicherheitshaft) und seiner Verurteilung durch das Strafgericht Basel-Stadt am 18. März 2024 wurde er auf seine Pflichten, die Schweiz zu verlassen und bei der Beschaffung von Reisepapieren mitzuwirken, hingewiesen. Der Beurteilte weigert sich jedoch, seinen diesbezüglichen Pflichten nachzukommen. Er ist offensichtlich nicht bereit, sich an gesetzliche Regelungen und behördliche Anordnungen zu halten. Es besteht eine erhebliche Gefahr, dass er eine Freilassung dazu nutzen könnte, unterzutauchen und sich ein weiteres Mal ins Ausland abzusetzen. Er hat auf Befragung hin auch ausdrücklich angegeben, zu seinem Bruder nach Italien reisen zu wollen. In Marokko habe er Probleme und keine Zukunft (Verhandlungsprotokoll, S. 3). Die Untertauchensgefahr ist sodann auch bei strafrechtlich relevantem Verhalten zu bejahen, da bei einem straffälligen Ausländer  eher als bei einem unbescholtenen  eher davon auszugehen ist, er werde künftig behördliche Anordnungen missachten (Baumann/Göksu, Zwangsmassnahmen im Ausländerrecht, Zürich/St. Gallen 2022, Rz 62;Hugi Yar, a.a.O., Rz 12.97). Der Beurteilte ist, wie sich aus dem erwähnten Strafregisterauszug ergibt, verschiedentlich straffällig geworden. Er wurde wiederholt wegen Diebstahls, Sachbeschädigung, Hausfriedensbruch sowie Missachtung einer Ein- oder Ausgrenzung zu Freiheits- und Geldstrafen sowie Bussen verurteilt. Der Beurteilte ist sodann auch seinen Mitwirkungspflichten in keiner Weise nachgekommen. Er hat sich nie um die Beschaffung von Reisepapieren gekümmert oder sich in Kooperation mit dem Migrationsamt darum bemüht. Aufgrund all dieser Umstände ist auch der Haftgrund der Untertauchensgefahr im Sinne von Art. 76 Abs. 1 lit. b Ziff. 3 und 4 AIG erfüllt.</w:t>
      </w:r>
    </w:p>
    <w:p>
      <w:r>
        <w:rPr>
          <w:b/>
        </w:rPr>
        <w:t>E. 4</w:t>
      </w:r>
    </w:p>
    <w:p>
      <w:r>
        <w:t>4.1Die Vorbereitungs- und die Ausschaffungshaft nach Art. 75 bis 77 AIG sowie die Durchsetzungshaft nach Art. 78 AIG dürfen zusammen in der Regel die maximale Haftdauer von sechs Monaten nicht überschreiten (Art. 79 Abs. 1 AIG). Weiter darf der Vollzug einer allfälligen Weg- oder Ausweisung nicht aus rechtlichen oder tatsächlichen Gründen undurchführbar sein (Art. 80 Abs. 6 lit. a AIG; BGE 127 II 168 E. 2c). Schliesslich muss die Haft als Ganzes verhältnismässig sein (vgl. BGE 130 II 56 E. 1 und 125 II 369 E. 3a) und müssen die Behörden das Beschleunigungsgebot einhalten. Die Ausschaffungshaft soll den Vollzug der Entfernungsmassnahme sicherstellen und muss ernsthaft geeignet sein, diesen Zweck zu erreichen, was nicht (mehr) der Fall ist, wenn die Weg- oder Ausweisung trotz der behördlichen Bemühungen nicht in einem dem konkreten Fall angemessenen Zeitraum vollzogen werden kann. Die Festhaltung hat, weil unverhältnismässig, dann als unzulässig zu gelten, wenn triftige Gründe für solche Verzögerungen sprechen oder praktisch feststeht, dass sich der Vollzug kaum innert vernünftiger Frist wird realisieren lassen (BGE 130 II 56 E. 4.1.3 mit Hinweisen; vgl. auch BGer 2C_1072/2015 vom 21. Dezember 2015 E. 3.2). Im Übrigen ist zu berücksichtigen, wieweit der Betroffene es tatsächlich in der Hand hat, seine Festhaltung zu beenden, indem er seiner Mitwirkungs- bzw. Ausreisepflicht nachkommt (BGE 134 I 93 E. 2.3.2; BGer 2C_1/2016 vom 27. Januar 2016 E. 2.3 und E. 3.2.1 sowie 2C_262/2016 vom 12. April 2016 E. 3.3).</w:t>
      </w:r>
    </w:p>
    <w:p>
      <w:r>
        <w:t>4.2Die Anordnung der Ausschaffungshaft im vorliegenden Fall erweist sich unter allen Aspekten als verhältnismässig. Der Beurteilte ist rechtskräftig aus der Schweiz weggewiesen worden bzw. ist über ihn rechtskräftig eine Landesverweisung verhängt worden (oben E. 2). Am 12. Juni 2024 wurde er nach Verbüssung der Freiheitsstrafe aus dem Gefängnis entlassen. Eine Rückkehr in sein Heimatland lehnt er entschieden ab. Eine Ausreise in ein Drittland ist mangels gültiger Reisepapiere auf legalem Weg nicht möglich. Der Beurteilte hat bislang nichts unternommen, um Reisepapiere zu beschaffen bzw. mitzuwirken. Die Inhaftierung ist somit der einzige Weg, um den Vollzug der Wegweisung bzw. der Landesverweisung sicherzustellen. Ausserdem stellt der Beurteilte aufgrund seiner wiederholten Straffälligkeit eine Gefährdung der öffentlichen Sicherheit und Ordnung dar, so dass eine Freilassung auch unter diesem Gesichtspunkt nicht in Frage kommt.</w:t>
      </w:r>
    </w:p>
    <w:p>
      <w:r>
        <w:t>Die Ausschaffung des Beurteilten nach Marokko ist rechtlich und tatsächlich möglich. Das SEM hat in seinem abweisenden Asylentscheid vom 21. April 2023 in eingehender Prüfung verneint, dass dem Beurteilten bei einer Rückkehr in seine Heimat eine konkrete Gefährdung von Leib und Leben drohen würde. Die allgemeine schlechte Wirtschaftslage in Marokko spricht nicht gegen den Vollzug der Wegweisung und der Landesverweisung und somit nicht gegen eine Ausschaffung dorthin. Was der Beurteilte heute gegen eine Rückkehr nach Marokko vorgetragen hat (Verhandlungsprotokoll, S. 3 f.), bietet keinen Anlass für eine andere Einschätzung der Situation. Das Migrationsamt hat in Beachtung des Beschleunigungsgebots bereits am Tag nach der Verurteilung des Beurteilten durch das Strafgericht Basel-Stadt beim SEM um Rückkehrunterstützung ersucht. Das SEM hat daraufhin am 25. März 2024 seinerseits die marokkanische Botschaft um Identifizierung des Beurteilten ersucht. Am 5. Juni 2024 hat sich das SEM dort nach dem Stand der Dinge erkundigt. Es kann erfahrungsgemäss davon ausgegangen werden, dass in absehbarer Zeit eine diesbezügliche Antwort der marokkanischen Behörden eingehen wird. Sobald der Beurteilte als marokkanischer Staatsangehöriger anerkannt und seine Identität bestätigt ist, werden Laissez Passer wie auch Flugbuchung beantragt werden können. Angesichts der hierfür noch benötigten Zeitspanne erscheint die Anordnung der Ausschaffungshaft für drei Monate als angemessen. Wird die Haftdauer nach Monaten bemessen, endet die Haft nach der praxisgemäss anwendbaren Bestimmung von Art. 110 Abs. 6 StGB am Vortag, der durch seine Zahl dem Tag des Freiheitsentzugs entspricht (dazu BGer 2C_1038/2018 vom 7. Dezember 2018 E. 4.1), vorliegend am 11. September 2024. Eine mildere Massnahme als die Inhaftierung wie eine Eingrenzung (Art. 74 AIG) wäre im Übrigen nicht zielführend, umso mehr als sich der Beurteilte in der Vergangenheit schon wiederholt nicht an derartige Anordnungen gehalten hat und in der Folge deswegen strafrechtlich verurteilt worden ist.</w:t>
      </w:r>
    </w:p>
    <w:p>
      <w:r>
        <w:rPr>
          <w:b/>
        </w:rPr>
        <w:t>E. 5</w:t>
      </w:r>
    </w:p>
    <w:p>
      <w:r>
        <w:t>Es werden keine Kosten erhoben (§ 4 des Gesetzes über den Vollzug von Zwangsmassnahmen im Ausländerrecht, SG 122.300).</w:t>
      </w:r>
    </w:p>
    <w:p>
      <w:r>
        <w:t>Demgemäss erkenntder Einzelrichter:</w:t>
      </w:r>
    </w:p>
    <w:p>
      <w:r>
        <w:t>://:        Die über A____ angeordnete Ausschaffungshaft ist vom 12. Juni 2024 bis zum 11. September 2024, rechtmässig und angemessen.</w:t>
      </w:r>
    </w:p>
    <w:p>
      <w:r>
        <w:t>Es werden keine Kosten erhoben.</w:t>
      </w:r>
    </w:p>
    <w:p>
      <w:r>
        <w:t>Mitteilung an:</w:t>
      </w:r>
    </w:p>
    <w:p>
      <w:r>
        <w:t>- A____</w:t>
      </w:r>
    </w:p>
    <w:p>
      <w:r>
        <w:t>- Migrationsamt</w:t>
      </w:r>
    </w:p>
    <w:p>
      <w:r>
        <w:t>- Staatssekretariat für Migration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