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AUS.2024.27 vom 22. Mai 2024</w:t>
      </w:r>
    </w:p>
    <w:p>
      <w:r>
        <w:t>BS Appellationsgericht, 2024-05-22, DE</w:t>
      </w:r>
    </w:p>
    <w:p>
      <w:r>
        <w:rPr>
          <w:b/>
        </w:rPr>
        <w:t xml:space="preserve">Quelle: </w:t>
      </w:r>
      <w:r>
        <w:t>https://mcp.opencaselaw.ch/entscheid/bs_appellationsgericht_AUS.2024.27</w:t>
      </w:r>
    </w:p>
    <w:p>
      <w:r>
        <w:t>FR: BS_APPELLATIONSGERICHT AUS.2024.27 du 22 mai 2024</w:t>
      </w:r>
    </w:p>
    <w:p>
      <w:r>
        <w:t>IT: BS_APPELLATIONSGERICHT AUS.2024.27 del 22 maggio 2024</w:t>
      </w:r>
    </w:p>
    <w:p>
      <w:pPr>
        <w:pStyle w:val="Heading2"/>
      </w:pPr>
      <w:r>
        <w:t>Erwägungen</w:t>
      </w:r>
    </w:p>
    <w:p>
      <w:r>
        <w:rPr>
          <w:b/>
        </w:rPr>
        <w:t>E. 1</w:t>
      </w:r>
    </w:p>
    <w:p>
      <w:r>
        <w:t>Gemäss Art. 80 Abs.</w:t>
      </w:r>
    </w:p>
    <w:p>
      <w:r>
        <w:rPr>
          <w:b/>
        </w:rPr>
        <w:t>E. 2</w:t>
      </w:r>
    </w:p>
    <w:p>
      <w:r>
        <w:t>Die Ausschaffungshaft setzt einen erstinstanzlichen Weg- oder Ausweisungsent-scheid oder eine erstinstanzliche Landesverweisung nach Artikel 66a oder 66abis Strafgesetzbuch (StGB, SR 311.0) oder Artikel 49a oder 49abis Militärstrafgesetzbuch (MStG, SR 321.0) voraus, dessen Vollzug mit der entsprechenden Festhaltung sichergestellt werden soll. Die Verfügung muss (noch) nicht in Rechtskraft erwachsen sein (BGE 140 II 409 E. 2.3.4;Zünd, in Spescha et al. [Hrsg.], Kommentar Migrationsrecht, 5. Auflage 2019, Art. 76 AIG N 1;Göksu, in: Handkommentar AIG, Caroni/Gächter/Thurnherr [Hrsg.], Bern 2010, Art. 76 AIG N 2;Busslinger/Segessenmann, Ausschaffung im Dublin-Verfahren, in: Rechtsschutz bei Schengen Dublin, Breitenmoser/Gless/Lagodny [Hrsg.], Zürich/St. Gallen 2013, S. 207, 214). A____ ist mit Strafurteil vom 22. Mai 2024 für 5 Jahre des Landes verwiesen und gleichentags vom Migrationsamt zusätzlich aus der Schweiz weggewiesen worden, wobei der Vollzug der Wegweisung unverzüglich zu erfolgen habe.</w:t>
      </w:r>
    </w:p>
    <w:p>
      <w:r>
        <w:rPr>
          <w:b/>
        </w:rPr>
        <w:t>E. 3</w:t>
      </w:r>
    </w:p>
    <w:p>
      <w:r>
        <w:t>3.1Nach den gesetzlichen Vorschriften kann ein Ausländer zur Sicherstellung des</w:t>
      </w:r>
    </w:p>
    <w:p>
      <w:r>
        <w:t>Vollzugs eines eröffneten erstinstanzlichen Weg- oder Ausweisungsentscheids oder einer erstinstanzlichen Landesverweisung nach Art. 66a oder 66abisStGB oder Art. 49aoder 49abisMStG insbesondere in Haft genommen werden, wenn Gründe nach Art. 76 Abs. 1 lit. b Ziff. 1 i.V.m. Art. 75 Abs. 1 lit. b, c, g, h oder i AIG vorliegen, so etwa wenn gegen eine Einreisesperre für das Gebiet der Schweiz verstossen wird (Art. 76 Abs. 1 lit. b Ziff. 1 i.V.m. Art. 75 Abs. 1 lit. c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AIG).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Die Ausschaffungshaft setzt nicht voraus, dass dem betroffenen Ausländer eine Ausreisfrist gesetzt wurde und er bereits Gelegenheit zur selbständigen Ausreise hatte, da er im Falle des Bestehens einer Untertauchensgefahr eine solche Frist zum Untertauchen nutzen könnte (Businger, Ausländerrechtliche Haft, in: Zürcher Studien zum öffentlichen Recht, Zürich/Basel/Genf 2015, S. 98).</w:t>
      </w:r>
    </w:p>
    <w:p>
      <w:r>
        <w:rPr>
          <w:b/>
        </w:rPr>
        <w:t>E. 3.2</w:t>
      </w:r>
    </w:p>
    <w:p>
      <w:r>
        <w:t>Das Migrationsamt begründet die Anordnung der Ausschaffungshaft mit dem Vorliegen einer Untertauchensgefahr (Art. 76 Abs. 1 lit. b Ziff. 3 und 4 AIG), mit der Begründung aufgrund der erfolgten Verurteilung von A____ wegen eines Verbrechens gegen das BetmG gehe von diesem eine grosse Gefahr für die öffentliche Sicherheit und Ordnung aus. Richtig ist, dass gemäss der bundesgerichtlichen Rechtsprechung aufgrund dieser Verurteilung davon ausgegangen werden darf, dass die Anwesenheit A____ Personen an Leib und Leben erheblich gefährdet und damit der Haftgrund von Art. 76 Abs. 1 lit. b Ziff. 1 i.V.m. Art. 75 Abs. 1 lit g AIG gegeben ist (s. dazu:Zünd, in: Spescha et al, Kommentar Migrationsrecht, 5. Auflage 2019, Art. 75 AIG N 11 mit Verweis auf BGE 125 II 369 E. 3b/bb). Gleichzeitig kann aber auch die Untertauchensgefahr bejaht werden, da nicht zu erwarten ist, dass A____, welcher wohl bereits die Rechtsordnung der Schweiz erheblich verletzt hat, sich in Freiheit entlassen an behördliche Anordnungen halten wird. Gleichzeitig ist den Akten zu entnehmen, dass sich A____ in der Vergangenheit bereits einer anderen Identität bedient hat, was als weiterer Hinweis auf das Bestehen von Untertauchensgefahr zu werten ist. Zwar gibt er an, grundsätzlich gewillt zu sein, nach Spanien zurück zu kehren. Da er sein Geld aber wohl mit Drogenhandel verdient, kann auf diese Aussage nicht unbesehen abgestützt werden. Vielmehr ist anzunehmen, dass er bereit ist, in der Schweiz unterzutauchen, falls dies seinen finanziellen Interessen dienen würde. Damit liegen zwei Haftgründe für die Anordnung von Ausschaffungshaft vor. Gleichzeitig besteht ein grosses öffentliches Interesse am Vollzug der angeordneten Landesverweisung. Eine mildere Massnahme, wie etwa eine Eingrenzung oder eine regelmässige Meldepflicht, vermögen den Vollzug der Landesverweisung aufgrund des in Freiheit zu erwartenden Verhaltens von A____ nicht genügend sicher zu stellen. Damit ist die Anordnung von Haft auch verhältnismässig.</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Schliesslich muss die zuständige Behörde ohne Verzug über die Aufenthaltsberechtigung des Ausländers entscheiden (Art. 75 Abs. 2 AIG, Beschleunigungsgebot) und die Haft als Ganzes verhältnismässig sein (vgl. BGE 130 II 56 E. 1S. 58 und BGE 125 II 369 E. 3a S. 374 f.).</w:t>
      </w:r>
    </w:p>
    <w:p>
      <w:r>
        <w:t>4.2Die spanischen Behörden haben der Rückübernahme von A____ bereits zugestimmt (s. E-Mail Schreiben des Staatssekretariats für Migration [SEM] vom 29. Februar 2024; zur Rückführung in ein anderes Land als das Heimatland s. Art. 69 Abs. 2 AIG), welche ihnen allerdings mindestens 72 Stunden im Voraus mitzuteilen ist. Zudem verfügt A____ über gültige Reisedokumente. Ein Rückflug nach Spanien kann erfahrungsgemäss rasch organisiert werden. Gleichwohl wird die angeordnete Haft im Umfang eines Monats bestätigt, falls in der Organisation der Rückführung unerwartete Schwierigkeiten auftauchen sollten.</w:t>
      </w:r>
    </w:p>
    <w:p>
      <w:r>
        <w:rPr>
          <w:b/>
        </w:rPr>
        <w:t>E. 5</w:t>
      </w:r>
    </w:p>
    <w:p>
      <w:r>
        <w:t>Es werden keine Kosten erhoben (§ 4 Gesetz über den Vollzug der Zwangsmassnahmen im Ausländerrecht, SG 122.300).</w:t>
      </w:r>
    </w:p>
    <w:p>
      <w:r>
        <w:t>Demgemäss erkenntdie Einzelrichterin:</w:t>
      </w:r>
    </w:p>
    <w:p>
      <w:r>
        <w:t>://:        Die über A____ angeordnete Ausschaffungshaft ist vom 22. Mai 2024, 14.00 Uhr, bis zum 21. Juni 2024, 14.00 Uhr,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