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AUS.2024.19 vom 12. Mai 2022</w:t>
      </w:r>
    </w:p>
    <w:p>
      <w:r>
        <w:t>BS Appellationsgericht, 2022-05-12, DE</w:t>
      </w:r>
    </w:p>
    <w:p>
      <w:r>
        <w:rPr>
          <w:b/>
        </w:rPr>
        <w:t xml:space="preserve">Quelle: </w:t>
      </w:r>
      <w:r>
        <w:t>https://mcp.opencaselaw.ch/entscheid/bs_appellationsgericht_AUS.2024.19</w:t>
      </w:r>
    </w:p>
    <w:p>
      <w:r>
        <w:t>FR: BS_APPELLATIONSGERICHT AUS.2024.19 du 12 mai 2022</w:t>
      </w:r>
    </w:p>
    <w:p>
      <w:r>
        <w:t>IT: BS_APPELLATIONSGERICHT AUS.2024.19 del 12 maggio 2022</w:t>
      </w:r>
    </w:p>
    <w:p>
      <w:pPr>
        <w:pStyle w:val="Heading2"/>
      </w:pPr>
      <w:r>
        <w:t>Erwägungen</w:t>
      </w:r>
    </w:p>
    <w:p>
      <w:r>
        <w:rPr>
          <w:b/>
        </w:rPr>
        <w:t>E. 1</w:t>
      </w:r>
    </w:p>
    <w:p>
      <w:r>
        <w:t>1.1Gemäss Art. 80 Abs. 2 des Ausländer- und Integrationsgesetzes (AIG,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w:t>
      </w:r>
    </w:p>
    <w:p>
      <w:r>
        <w:t>1.2.2A____ wird mit der Verfügung des Migrationsamts vom 26. März 2024 erstmals in Ausschaffungshaft versetzt. Zudem bringt der vorliegende Fall  wie nachfolgend zu zeigen sein wird  auch keine besonderen Schwierigkeiten mit sich, sodass das Gesuch um unentgeltliche Verbeiständung abzuweisen ist. Indes kann sich der Beurteilte im vorliegenden Verfahren von B____ vertreten lassen (vgl. dazu auch E. 4).</w:t>
      </w:r>
    </w:p>
    <w:p>
      <w:r>
        <w:rPr>
          <w:b/>
        </w:rPr>
        <w:t>E. 2</w:t>
      </w:r>
    </w:p>
    <w:p>
      <w:r>
        <w:t>2.1Nach den gesetzlichen Vorschriften kann ein Ausländer zur Sicherstellung eines erstinstanzlichen Weg- oder Ausweisungsentscheids bzw. einer erstinstanzlichen Landesverweisung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2.2A____ ist bereits einmal  als man ihm anlässlich einer Vorsprache beim Migrationsamt das Flugticket nach Marokko aushändigen wollte  untergetaucht und wurde erst aufgrund der im Sachverhalt erwähnten Polizeikontrolle wieder aufgefunden. Seine diesbezügliche Erklärung, dass er 15 Tage lang Fieber hatte, ist angesichts der ungewöhnlich langen Dauer der Erkrankung und der zeitlichen Koinzidenz mit den konkreten Ausschaffungsbemühungen bereits eher unglaubhaft, hätte ihn aber auch nicht daran gehindert, sich beim Migrationsamt per E-Mail abzumelden, was er wegen Aufenthalten in der PUK in der Vergangenheit denn auch getan hat. Im gleichen Zeitraum (Dezember 2023/Januar 2024) ist er zudem auch bei der Rückkehrberatung trotz Termins nicht mehr erschienen. Dass A____ sich nicht an behördliche Auflagen hält, zeigt auch, dass er ihm gesetzte Ausreisefristen verstreichen liess. Da er in der Vergangenheit mehrfach dezidiert zum Ausdruck gebracht hat, dass er unter keinen Umständen nach Marokko zurückkehren möchte und nicht freiwillig ausreisen werde, ist der Anreiz erneut unterzutauchen hoch und demnach  auch wenn er in der Vergangenheit Vorsprachetermine zwecks Verlängerung der Nothilfebestätigung regelmässig wahrgenommen hat  von Untertauchensgefahr gemäss Art. 76 Abs. 1 lit. b Ziff. 3 und 4 AIG auszugehen. Daran ändert der in der heutigen Befragung zum Ausdruck gebrachte Sinneswandel, wonach er nun freiwillig nach Marokko zurückkehren möchte, nichts, zumal er an der Befragung beim Migrationsamt vom 26. März 2024 noch anderer Meinung war und das Motiv des Sinneswandels (nachdenken über Probleme mit seiner Ex-Frau) nicht einzuleuchten vermag.</w:t>
      </w:r>
    </w:p>
    <w:p>
      <w:r>
        <w:rPr>
          <w:b/>
        </w:rPr>
        <w:t>E. 3</w:t>
      </w:r>
    </w:p>
    <w:p>
      <w:r>
        <w:t>3.1Die Vorbereitungs- und die Ausschaffungshaft nach Art. 75-77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ist auszuschliessen, dass sich der Beurteilte an eine Ein- oder Ausgrenzung (Art. 74 AIG) im Sinne einer milderen Massnahme halten würde, sodass eine Inhaftierung das einzige Mittel darstellt, mit dem der Vollzug der Wegweisungsverfügung vom 4. April 2022 (auf die überzeugend begründete Verfügung ist trotz auch heute wieder vorgetragenen Argumenten zufolge eingeschränkter Kognition nicht zurückzukommen [vgl. dazuBusinger, Ausländerrechtliche Haft, Diss. Zürich 2015, S. 99]) sichergestellt werden kann, zumal mangels Vorhandenseins auch kein gültiger Reisepass beim Migrationsamt hinterlegt werden könnte und eine Meldepflicht in der Vergangenheit mehrfach missachtet wurde, weshalb auch eine allfällige Aufsicht von Herrn B____ nichts an der Untertauchensgefahr ändern würde. Obwohl psychische Probleme aktenkundig sind, überwiegt das öffentliche Interesse an der Sicherstellung der Wegweisung dasjenige des Beurteilten an seiner persönlichen Freiheit, zumal die Reisefähigkeit gemäss Einschätzung des SEM nicht beeinträchtigt und die medizinische Betreuung im Gefängnis Bässlergut sichergestellt ist. Kommt dazu, dass A____ in der Vergangenheit mehrmals geraten wurde, freiwillig auszureisen, ansonsten er mit Zwangsmassnahmen zu rechnen habe und er sich auch aus dem Gefängnis von seinen Freunden in Basel verabschieden kann.</w:t>
      </w:r>
    </w:p>
    <w:p>
      <w:r>
        <w:t>3.3Dass eine Rückführung nach Marokko tatsächlich möglich ist, ergibt sich nur schon aus der Tatsache, dass jede Woche mehrere Linienflüge nach Casablanca bzw. Marrakesch verkehren (ab Basel). Auch ergeben sich keinerlei Anhaltspunkte dafür, dass ihm bei einer Rückkehr in seinen Heimatstaat mit beachtlicher Wahrscheinlichkeit eine durch Art. 3 der Europäischen Menschenrechtskonvention (EMRK, SR 0.101) verbotene Strafe oder Behandlung droht, wobei der Beurteilte gemäss Aktennotiz vom 25. September 2023 selber angegeben hat, dass er in Marokko keine Probleme habe. Zudem sprechen weder die in Marokko herrschende politische Situation noch andere Gründe gegen die Zumutbarkeit der Rückführung dorthin, zumal die medizinische Versorgung zumindest in den grösseren Städten gewährleistet ist (https://cutt.ly/Qw95WYLM, zuletzt besucht am 27. März 2024). Aufgrund der Tatsache, dass zufolge abgelaufenen Reisepasses ein Laissez-passer beschafft werden muss (zwar gemäss Einschätzung des Migrationsamts innert kurzer Frist) und angesichts des schwer abschätzbaren zukünftigen Verhaltens des Beurteilten, wird die Haft praxisgemäss für drei Monate bewilligt, wobei auf die Möglichkeit eines Haftentlassungsgesuchs hinzuweisen ist.</w:t>
      </w:r>
    </w:p>
    <w:p>
      <w:r>
        <w:rPr>
          <w:b/>
        </w:rPr>
        <w:t>E. 4</w:t>
      </w:r>
    </w:p>
    <w:p>
      <w:r>
        <w:t>Nach dem Gesagten erweist sich die Haft als notwendig und verhältnismässig, weshalb sie zu bestätigen ist. Das vorliegende Verfahren ist kostenlos (§ 4 Abs. 1 des Gesetzes über den Vollzug der Zwangsmassnahmen im Ausländerrecht). Da der Vertreter des Beurteilten nicht im Anwaltsregister eingetragen ist, kann ihm auch keine Entschädigung zugesprochen werden (§ 4 Abs. 1 und 2 des Advokaturgesetzes [SG 291.100]; VGE AUS.2023.16 vom 20. April 2023 E. 6, AUS.2020.22 vom 1. April 2020, AUS.2014.80 vom 7. Januar 2015 E. 3).</w:t>
      </w:r>
    </w:p>
    <w:p>
      <w:r>
        <w:t>Demgemäss erkenntder Einzelrichter:</w:t>
      </w:r>
    </w:p>
    <w:p>
      <w:r>
        <w:t>://:        Die über A____ angeordnete Ausschaffungshaft ist für die Dauer von drei Monaten, das heisst bis zum 24. Juni 2024, rechtmässig und angemessen.</w:t>
      </w:r>
    </w:p>
    <w:p>
      <w:r>
        <w:t>Das Gesuch um unentgeltliche Verbeiständung wird abgewiesen.</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