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AUS.2024.18 vom 21. März 2024</w:t>
      </w:r>
    </w:p>
    <w:p>
      <w:r>
        <w:t>BS Appellationsgericht, 2024-03-21, DE</w:t>
      </w:r>
    </w:p>
    <w:p>
      <w:r>
        <w:rPr>
          <w:b/>
        </w:rPr>
        <w:t xml:space="preserve">Quelle: </w:t>
      </w:r>
      <w:r>
        <w:t>https://mcp.opencaselaw.ch/entscheid/bs_appellationsgericht_AUS.2024.18</w:t>
      </w:r>
    </w:p>
    <w:p>
      <w:r>
        <w:t>FR: BS_APPELLATIONSGERICHT AUS.2024.18 du 21 mars 2024</w:t>
      </w:r>
    </w:p>
    <w:p>
      <w:r>
        <w:t>IT: BS_APPELLATIONSGERICHT AUS.2024.18 del 21 marzo 2024</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(BGE 140 II 409 E. 2.3.4;Zünd, in Spescha et al. [Hrsg.], Kommentar Migrationsrecht, 5. Auflage 2019, Art. 76 AIG N 1;Göksu, in: Handkommentar AIG, Caroni/Gächter/Thurnherr [Hrsg.], Bern 2010, Art. 76 AIG N 2;Busslinger/Segessenmann, Ausschaffung im Dublin-Verfahren, in: Rechtsschutz bei Schengen Dublin, Breitenmoser/Gless/Lagodny [Hrsg.], Zürich/St. Gallen 2013, S. 207, 214). Mit rechtkräftiger Abweisung der Beschwerde des A____ gegen den negativen Asylentscheid des SEM vom 4. September 2023 ist die darin verfügte Wegweisung in Rechtskraft erwachsen.</w:t>
      </w:r>
    </w:p>
    <w:p>
      <w:r>
        <w:rPr>
          <w:b/>
        </w:rPr>
        <w:t>E. 3</w:t>
      </w:r>
    </w:p>
    <w:p>
      <w:r>
        <w:t>3.1Gegenstand des Haftprüfungsverfahrens ist einzig die ausländerrechtliche Haft und nicht die Rechtmässigkeit des Wegweisungsentscheids. Das Haftgericht kann deshalb nur beim Vorliegen offensichtlicher Rechtsfehler, welche den Entfernungsentscheid praktisch nichtig erscheinen lassen, eingreifen bzw. die Haftanordnung nicht bestätigen (BGE 128 II 193 E. 2.2.2;Businger, Ausländerrechtliche Haft, in: Zürcher Studien zum öffentlichen Recht, Dissertation 2015, S. 99).</w:t>
      </w:r>
    </w:p>
    <w:p>
      <w:r>
        <w:t>3.2Wenn A____ vorbringt, er habe Angst in die Türkei zurückzukehren, weil er sich vor einer Verhaftung fürchte, kann er deshalb nicht gehört werden. Das SEM hat im Asylentscheid vom 4. September 2023 sorgfältig dargelegt, weshalb A____ die Eigenschaft eines politischen Flüchtlings nicht erfülle und weshalb nicht davon auszugehen sei, dass ihm in der Türkei eine flüchtlingsrelevante Reflexwirkung aufgrund der (möglichen) politischen Aktivität seines Bruders drohe. Der Entscheid kann nicht als willkürlich erachtet werden und wurde überdies durch das Bundesverwaltungsgericht bestätigt.</w:t>
      </w:r>
    </w:p>
    <w:p>
      <w:r>
        <w:rPr>
          <w:b/>
        </w:rPr>
        <w:t>E. 4</w:t>
      </w:r>
    </w:p>
    <w:p>
      <w:r>
        <w:t>4.1Nach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4.2A____ hatdie Frist zur freiwilligen Ausreise ungenutzt verstreichen lassen und hat anlässlich der danach ergangenen Aufforderungen des Migrationsamts, sich um seine Rückreise in die Heimat zu kümmern, unmissverständlich zum Ausdruck gebracht, dass er die Schweiz nicht freiwillig verlassen werde, lieber ins Gefängnis gehe und von der Polizei in die Heimat zurückgebracht werden müsse. Angesichts dieses Verhaltens erscheint es notwendig, ihn kurz vor dem nun für den morgigen Tag, den 21. März 2024, durch das Migrationsamt organisierten Rückflug in die Türkei in Haft zu nehmen, um die Wegweisung von A____ sicher zu stellen. Dies unabhängig davon, dass er sich bislang an die vereinbarten Vorsprachetermine gehalten hat, weil aufgrund seiner dezidierten Weigerung, die Schweiz freiwillig zu verlassen, davon ausgegangen werden muss, dass er für die Behörden am Tag des Rückflugs nicht zur Verfügung steht und seine Rückführung damit vereiteln wird. Dazu reicht ein allenfalls nur kurzzeitiges Untertauchen vollständig aus. Eine mildere Massnahme ist angesichts dieses Umstands offensichtlich nicht tauglich, um die Teilnahme von A____ am morgigen Flug in die Türkei sicherzustellen. Allerdings wurde die Ausschaffungshaft für die Dauer von drei Monaten angeordnet für den Fall, dass A____ den Flug morgen nicht freiwillig antreten wird, mithin für den Fall, dass der Vollzug der Wegweisung in einer weiteren (Zwangs)Vollzugstufe organisiert werden müsste. Angesichts des bislang allerdings kooperativen Verhaltens von A____ sowie aufgrund seines jungen Alters (A____ wurde im Juli 2023 volljährig; vgl. Art. 79 Abs. 2 AIG) erscheint die Dauer dieser Haftanordnung «auf Vorrat» allerdings zu lang, weshalb die Haft einzig für die Dauer von 12 Tagen bewilligt wird (vgl. Art. 80 Abs. 3 AIG). Es ist in diesem Zusammenhang nochmals ausdrücklich darauf hinzuweisen, dass A____ sich bislang absolut korrekt verhalten und alle behördlichen Termine wahrgenommen hat. Auch die Festnahme vom 8. Februar 2024 erfolgte gestützt auf die glaubhaften Aussagen von A____ an der Gerichtsverhandlung nicht aufgrund eines angestrebten Grenzübertritts nach Deutschland, sondern weil er seinen Bruder ander[]strasse aufsuchen wollte.</w:t>
      </w:r>
    </w:p>
    <w:p>
      <w:r>
        <w:rPr>
          <w:b/>
        </w:rPr>
        <w:t>E. 5</w:t>
      </w:r>
    </w:p>
    <w:p>
      <w:r>
        <w:t>5.1Die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5.2Wie bereits ausgeführt, ist ein Flug in die Türkei bereits für Donnerstag, den 21. März 2024, vorgesehen. Damit hat das Migrationsamt das Beschleunigungsgebot eingehalten.</w:t>
      </w:r>
    </w:p>
    <w:p>
      <w:r>
        <w:rPr>
          <w:b/>
        </w:rPr>
        <w:t>E. 6</w:t>
      </w:r>
    </w:p>
    <w:p>
      <w:r>
        <w:t>Es werden keine Kosten erhoben (§ 4 Gesetz über den Vollzug der Zwangsmassnahmen im Ausländerrecht, SG 122.300).</w:t>
      </w:r>
    </w:p>
    <w:p>
      <w:r>
        <w:t>Demgemäss erkenntdie Einzelrichterin:</w:t>
      </w:r>
    </w:p>
    <w:p>
      <w:r>
        <w:t>://:        Die über A____ angeordnete Ausschaffungshaft ist vom 18. März 2024 bis und mit 27. März 2024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