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AUS.2024.17 vom 11. März 2024</w:t>
      </w:r>
    </w:p>
    <w:p>
      <w:r>
        <w:t>BS Appellationsgericht, 2024-03-11, DE</w:t>
      </w:r>
    </w:p>
    <w:p>
      <w:r>
        <w:rPr>
          <w:b/>
        </w:rPr>
        <w:t xml:space="preserve">Quelle: </w:t>
      </w:r>
      <w:r>
        <w:t>https://mcp.opencaselaw.ch/entscheid/bs_appellationsgericht_AUS.2024.17</w:t>
      </w:r>
    </w:p>
    <w:p>
      <w:r>
        <w:t>FR: BS_APPELLATIONSGERICHT AUS.2024.17 du 11 mars 2024</w:t>
      </w:r>
    </w:p>
    <w:p>
      <w:r>
        <w:t>IT: BS_APPELLATIONSGERICHT AUS.2024.17 del 11 marzo 2024</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(vgl. dazu BGE 142 I 135 E. 3.3; BGer 2C_457/2023 vom 15. September 2023 E. 4.3, 2C_620/2021 vom 14. September 2021 E. 3.1).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im SIS auch mit dem Alias-Namen [...] verzeichnete Beurteilte  am 3. August 2015 in Österreich um Asyl ersucht (eigenen Angaben zufolge soll er im Jahr 2014 nach Frankreich gekommen sein; nach einer Woche sei er nach Deutschland gegangen, wo er als Minderjähriger in einem Kinderheim untergebracht worden sein soll und ein Jahr geblieben sei; weil es ihm in Deutschland nicht gefallen habe, sei er nach Österreich gereist). Gemäss eigenen Angaben hat er dort einen ablehnenden Entscheid erhalten und ist  behördliche Weisungen ignorierend und mutmasslich den Vollzug seiner Wegweisung nach Algerien verhindernd  nach Belgien weitergereist, wo er mehrere Jahre ohne gültigen Aufenthaltstitel gelebt haben will. Auch in Luxemburg habe er sich ohne gültigen Aufenthaltstitel aufgehalten. Gemäss EURODAC-Trefferformular hat der Beurteilte sodann am 24. Januar 2020 auch in den Niederlanden ein Asylgesuch gestellt. Das Ergebnis dieses Verfahrens hat er jedoch nicht abgewartet und ist in der Folge selbständig  erneut behördliche Weisungen ignorierend  nach Deutschland gereist, wo er abermals erkennungsdienstlich behandelt wurde (2. September 2020). Obwohl er keinen Reisepass auf sich trug und auch kein Visum für die Einreise in die Schweiz vorweisen konnte, ist er nunmehr, ein schengenweites Einreiseverbot missachtend, im Wissen um die Einreisevoraussetzungen  mit einer zugegebenermassen totalgefälschten portugiesischen Identitätskarte  in die Schweiz eingereist. Gemäss seinen Angaben anlässlich der Befragung beim Migrationsamt beabsichtige er bei einer Haftentlassung, sofort nach Belgien weiterzureisen.</w:t>
      </w:r>
    </w:p>
    <w:p>
      <w:r>
        <w:t>2.2.2Nach dem Gesagten ist auszuschliessen, dass sich der offenbar hochmobile und sich um behördliche Anordnungen regelrecht foutierende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Belgien) bzw. untertauchen würde und damit für die Behörden nicht mehr greifbar wäre.</w:t>
      </w:r>
    </w:p>
    <w:p>
      <w:r>
        <w:t>2.3Es stellt sich im Weiteren die Frage, ob ein milderes Mittel als Haft vorhanden ist, welches ein Untertauchen des Beurteilten wirksam verhindern könnte. A____ verfügt über keinerlei Beziehungen zur Schweiz. In dieser Situation erscheint der Anreiz für den Beurteilten, die Freiheit nach dem vorstehend Erwogenen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ohnehin nicht davon abgehalten hat, zu reisen. Vielmehr hat er sich gefälschter Identitätspapiere bedient.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vom 8. März 2024 beim Migrationsamt auch zu Protokoll gegeben hat, dass es ihm gesundheitlich gut gehe. Auch ist die Anordnung der Vorbereitungshaft für die maximal mögliche Dauer von sieben Wochen (Art. 76a Abs. 3 lit. a AIG) nicht zu beanstanden, da zunächst die Zuständigkeit des Rückübernahmestaates (mutmasslich Österreich, Holland oder Deutschland) zu prüfen ist und das Staatssekretariat für Migration (SEM) anschliessend die Wegweisung verfügen muss. Das Migrationsamt ist jedoch gehalten, auch im weiteren Fortgang des Verfahrens das Beschleunigungsgebot zu wahren. Zudem hat es zu prüfen, ob der Beurteilte allenfalls nicht zu seiner Ehefrau (in der Befragung vom 8. März 2024 sprach der Beurteilte davon, dass er in Belgien heiraten werde bzw. er wolle zu seiner Ehefrau gehen), zurückkehren kann.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7. März 2024 bis zum 24. April 2024,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rPr>
          <w:b/>
        </w:rPr>
        <w:t>E. 7</w:t>
      </w:r>
    </w:p>
    <w:p>
      <w:r>
        <w:t>März 2014 S. 2675 ff., 2702; VGE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