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AUS.2024.16 vom 11. März 2024</w:t>
      </w:r>
    </w:p>
    <w:p>
      <w:r>
        <w:t>BS Appellationsgericht, 2024-03-11, DE</w:t>
      </w:r>
    </w:p>
    <w:p>
      <w:r>
        <w:rPr>
          <w:b/>
        </w:rPr>
        <w:t xml:space="preserve">Quelle: </w:t>
      </w:r>
      <w:r>
        <w:t>https://mcp.opencaselaw.ch/entscheid/bs_appellationsgericht_AUS.2024.16</w:t>
      </w:r>
    </w:p>
    <w:p>
      <w:r>
        <w:t>FR: BS_APPELLATIONSGERICHT AUS.2024.16 du 11 mars 2024</w:t>
      </w:r>
    </w:p>
    <w:p>
      <w:r>
        <w:t>IT: BS_APPELLATIONSGERICHT AUS.2024.16 del 11 marzo 2024</w:t>
      </w:r>
    </w:p>
    <w:p>
      <w:pPr>
        <w:pStyle w:val="Heading2"/>
      </w:pPr>
      <w:r>
        <w:t>Erwägungen</w:t>
      </w:r>
    </w:p>
    <w:p>
      <w:r>
        <w:rPr>
          <w:b/>
        </w:rPr>
        <w:t>E. 1</w:t>
      </w:r>
    </w:p>
    <w:p>
      <w:r>
        <w:t>Gemäss Art. 80 Abs. 2 des Ausländer- und Integrationsgesetzes (AIG,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2</w:t>
      </w:r>
    </w:p>
    <w:p>
      <w:r>
        <w:t>2.1Nach den gesetzlichen Vorschriften kann ein Ausländer zur Sicherstellung eines erstinstanzlichen Weg- oder Ausweisungsentscheids bzw. einer erstinstanzlich eröffneten Landesverweisung unter anderem dann in Haft genommen werden, wenn er ein ihm nach Artikel 74 AIG zugewiesenes Gebiet verlässt oder ein ihr verbotenes Gebiet betritt (Art. 76 Abs. 1 lit. b Ziff. 1 in Verbindung mit Art. 75 Abs. 1 lit. b AIG) oder dann, wenn er wegen eines Verbrechens verurteilt worden ist (Art. 76 Abs. 1 lit. b Ziff. 1 in Verbindung mit Art. 75 Abs. 1 lit. h AIG), wobei letzteres Urteil in Rechtskraft erwachsen sein muss (vgl. dazuGöksu, in: Caroni/Gächter/Thurnherr [Hrsg.], Handkommentar AuG, Bern 2010, Art. 75 N 21).</w:t>
      </w:r>
    </w:p>
    <w:p>
      <w:r>
        <w:t>2.2Nach den gesetzlichen Vorschriften kann ein Ausländer zur Sicherstellung eines erstinstanzlichen Weg- oder Ausweisungsentscheids bzw. einer erstinstanzlichen Landesverweisung darüber hinaus dann in Haft genommen werden, wenn Untertauchensgefahr vorliegt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 3 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 Hugi Yar, Zwangsmassnahmen im Ausländerrecht, in: Ausländerrecht, Uebersax et al. [Hrsg.], 3. Auflage 2022, Rz. 12.103).</w:t>
      </w:r>
    </w:p>
    <w:p>
      <w:r>
        <w:t>2.3Wie sich aus der Sachverhaltsdarstellung ergibt, wurde der Beurteilte rechtskräftig mitunter wegen mehrfacher Missachtung der Ein- oder Ausgrenzung nach Art. 119 AIG schuldig gesprochen. Der entsprechende Haftgrund ist damit erfüllt.</w:t>
      </w:r>
    </w:p>
    <w:p>
      <w:r>
        <w:t>2.4Wie sich ebenfalls aus der Sachverhaltsdarstellung ergibt, wurde A____ wegen gewerbsmässigen Diebstahls (Art. 139 Ziff. 2 des Strafgesetzbuches [StGB, SR 311.0]) und Hehlerei (Art. 160 Ziff. 1 StGB), mithin beides Verbrechens im Sinne von Art. 10 Abs. 2 StGB, rechtskräftig verurteilt, womit auch der Haftgrund von Art. 76 Abs. 1 lit. b Ziff. 1 in Verbindung mit Art. 75 Abs. 1 lit. h AIG erfüllt ist.</w:t>
      </w:r>
    </w:p>
    <w:p>
      <w:r>
        <w:t>2.5Wie die Einzelrichterin für Zwangsmassnahmen im Ausländerrecht bereits in ihren Urteilen vom 26. Oktober 2018 (VGE AUS.2018.87) und vom 16. November 2018 festgestellt hat (VGE AUS.2018.100), liegt auch Untertauchensgefahr vor: Der mitunter wegen Gewaltdelikten verurteilte A____ tauchte im Jahr 2016 zweimal nach Stellung eines Asylgesuchs in der Schweiz unter, benutzte in der Vergangenheit diverse Aliasidentitäten, wobei er unter anderem auch behauptete, Libyer zu sein, und machte widersprüchliche Angaben zum Verbleib seiner Identitätspapiere. Des Weiteren hat er wiederholt gegenüber dem Migrationsamt angegeben und auch an der heutigen Verhandlung beteuert, dass er keineswegs gewillt sei, nach Algerien zurück zu kehren. Vielmehr liegt aufgrund der Tatsache, dass Frau und Tochter im grenznahen Ausland leben bzw. das eigentliche Motiv der Rückkehr nach Europa darstellen, auf der Hand, dass er bei einer Haftentlassung zu ihnen nach Frankreich zurückkehren würde (wobei dies aufgrund des Eintrags im SIS nicht auf legalem Weg möglich ist). Kommt dazu, dass er mit der erneuten (illegalen) Rückkehr nach Europa bzw. der Missachtung der im SIS eingetragenen Landesverweisung(en) eindrücklich gezeigt hat, dass er nicht gewillt ist, sich an behörderliche Anordnungen zu halten. Untertauchensgefahr ist offensichtlich gegeben.</w:t>
      </w:r>
    </w:p>
    <w:p>
      <w:r>
        <w:rPr>
          <w:b/>
        </w:rPr>
        <w:t>E. 3</w:t>
      </w:r>
    </w:p>
    <w:p>
      <w:r>
        <w:t>3.1Die Vorbereitungs- und die Ausschaffungshaft nach Art. 75-77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3.2Aufgrund des vorstehend Erwogenen bzw. der einschlägigen Vorstrafe ist auszuschliessen, dass sich der Beurteilte an eine Ein- oder Ausgrenzung (Art. 74 AIG) im Sinne einer milderen Massnahme halten würde, sodass eine Inhaftierung das einzige Mittel darstellt, mit dem der Vollzug der beiden Landesverweisungen sichergestellt werden kann, zumal mangels Vorhandenseins auch kein Reisepass beim Migrationsamt hinterlegt werden könnte und der Beurteilte zudem eine Gefahr für die öffentliche Ordnung und Sicherheit darstellt. Auch wenn die aktuelle Inhaftierung aufgrund seiner familiären Situation sicherlich eine Härte darstellt, überwiegt das als gross einzustufende öffentliche Interesse an der Sicherstellung der beiden Landesverweisungen dasjenige des Beurteilten an seiner persönlichen Freiheit, zumal Letzterer gemäss den Abklärungen des Migrationsamts auch in Frankreich über keinen geregelten Aufenthaltsstatus verfügt und im Wissen darum, trotz des schengenweiten Einreiseverbots erneut nach Europa gereist ist. Auch wenn der Rekurrent am 14. Oktober 2022 belegtermassen geheiratet hat und am 27. Januar 2024 Vater einer Tochter geworden ist, kann er daraus  wie bereits im Urteil VGE AUS.2023.32 vom 6. Juli 2023 ausgeführt  nichts zu seinen Gunsten ableiten, zumal diese Fakten nach Rechtskraft der beiden Landesverweisungen geschaffen wurden, als bereits sicher feststand, dass A____ die Schweiz für längere Zeit verlassen muss (vgl. dazu VGE VD.2015.240 vom 19. September 2016 E. 4.2.3; AGE SB.2019.76 vom 18. Mai 2021 E. 6.3.4). Kommt dazu, dass seine Ehefrau gemäss den Ausführungen an der Verhandlung vom 6. Juli 2023 bzw. an der heutigen Verhandlung auch zugesichert hat, mit ihm in Algerien leben zu wollen.</w:t>
      </w:r>
    </w:p>
    <w:p>
      <w:r>
        <w:t>3.3Der Beurteilte wurde von den algerischen Behörden bereits als eigener Staatsangehöriger identifiziert und es wird erneut ein Laissez-passer bei seinen Heimatbehörden zu beschaffen sein. Dass eine Rückführung nach Algerien tatsächlich möglich ist, ergibt sich nur schon aus der Tatsache, dass wöchentlich mehrere Linienflüge nach Algerien verkehren. Auch ergeben sich keine Anhaltspunkte dafür, dass dem Beurteilten bei einer Rückkehr in seinen Heimatstaat mit beachtlicher Wahrscheinlichkeit eine durch Art. 3 der Europäischen Menschenrechtskonvention (EMRK, SR 0.101) verbotene Strafe oder Behandlung droht. Zudem sprechen weder die in Algerien herrschende politische Situation noch andere Gründe gegen die Zumutbarkeit der Rückführung dorthin. Aufgrund der Tatsache, dass die Beschaffung eines Laissez-passer ohne konstruktive Mitarbeit des Beurteilten einige Zeit in Anspruch nehmen kann ist auch die für drei Monate verfügte Dauer der Haft nicht zu beanstanden, wobei A____ auf die Möglichkeit eines Haftentlassungsgesuchs hingewiesen wird.</w:t>
      </w:r>
    </w:p>
    <w:p>
      <w:r>
        <w:rPr>
          <w:b/>
        </w:rPr>
        <w:t>E. 4</w:t>
      </w:r>
    </w:p>
    <w:p>
      <w:r>
        <w:t>Nach dem Gesagten erweist sich die Haft als notwendig und verhältnismässig, weshalb sie zu bestätigen ist. Das vorliegende Verfahren ist kostenlos (§ 4 Abs. 1 des Gesetzes über den Vollzug der Zwangsmassnahmen im Ausländerrecht).</w:t>
      </w:r>
    </w:p>
    <w:p>
      <w:r>
        <w:t>Demgemäss erkenntder Einzelrichter:</w:t>
      </w:r>
    </w:p>
    <w:p>
      <w:r>
        <w:t>://:        Die über A____ angeordnete Ausschaffungshaft ist für die Dauer von drei Monaten, das heisst bis zum 7. Juni 2024, rechtmässig und angemessen.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